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0"/>
        <w:gridCol w:w="3526"/>
      </w:tblGrid>
      <w:tr w:rsidR="0069238D" w:rsidRPr="0014526F" w14:paraId="280EF058" w14:textId="77777777">
        <w:tblPrEx>
          <w:tblCellMar>
            <w:top w:w="0" w:type="dxa"/>
            <w:bottom w:w="0" w:type="dxa"/>
          </w:tblCellMar>
        </w:tblPrEx>
        <w:tc>
          <w:tcPr>
            <w:tcW w:w="5500" w:type="dxa"/>
            <w:tcBorders>
              <w:top w:val="none" w:sz="0" w:space="0" w:color="FFFFFF"/>
              <w:left w:val="none" w:sz="0" w:space="0" w:color="FFFFFF"/>
              <w:bottom w:val="none" w:sz="0" w:space="0" w:color="FFFFFF"/>
              <w:right w:val="none" w:sz="0" w:space="0" w:color="FFFFFF"/>
            </w:tcBorders>
            <w:shd w:val="clear" w:color="auto" w:fill="003366"/>
            <w:tcMar>
              <w:top w:w="200" w:type="dxa"/>
              <w:left w:w="320" w:type="dxa"/>
              <w:bottom w:w="200" w:type="dxa"/>
              <w:right w:w="160" w:type="dxa"/>
            </w:tcMar>
            <w:vAlign w:val="center"/>
          </w:tcPr>
          <w:p w14:paraId="013C46EF" w14:textId="77777777" w:rsidR="0069238D" w:rsidRPr="0014526F" w:rsidRDefault="00000000">
            <w:pPr>
              <w:rPr>
                <w:lang w:val="en-US"/>
              </w:rPr>
            </w:pPr>
            <w:r w:rsidRPr="0014526F">
              <w:rPr>
                <w:rFonts w:ascii="Calibri" w:eastAsia="Calibri" w:hAnsi="Calibri" w:cs="Calibri"/>
                <w:b/>
                <w:bCs/>
                <w:color w:val="FFFFFF"/>
                <w:sz w:val="44"/>
                <w:szCs w:val="44"/>
                <w:lang w:val="en-US"/>
              </w:rPr>
              <w:t>SITTEC 2026</w:t>
            </w:r>
          </w:p>
          <w:p w14:paraId="0079F5FA" w14:textId="77777777" w:rsidR="0069238D" w:rsidRPr="0014526F" w:rsidRDefault="00000000">
            <w:pPr>
              <w:spacing w:before="30"/>
              <w:rPr>
                <w:lang w:val="en-US"/>
              </w:rPr>
            </w:pPr>
            <w:r w:rsidRPr="0014526F">
              <w:rPr>
                <w:rFonts w:ascii="Calibri" w:eastAsia="Calibri" w:hAnsi="Calibri" w:cs="Calibri"/>
                <w:color w:val="A8D8DC"/>
                <w:sz w:val="18"/>
                <w:szCs w:val="18"/>
                <w:lang w:val="en-US"/>
              </w:rPr>
              <w:t>International Seminar on Technological Innovation</w:t>
            </w:r>
          </w:p>
          <w:p w14:paraId="61DE1F4F" w14:textId="77777777" w:rsidR="0069238D" w:rsidRPr="0014526F" w:rsidRDefault="00000000">
            <w:pPr>
              <w:rPr>
                <w:lang w:val="en-US"/>
              </w:rPr>
            </w:pPr>
            <w:r w:rsidRPr="0014526F">
              <w:rPr>
                <w:rFonts w:ascii="Calibri" w:eastAsia="Calibri" w:hAnsi="Calibri" w:cs="Calibri"/>
                <w:color w:val="A8D8DC"/>
                <w:sz w:val="18"/>
                <w:szCs w:val="18"/>
                <w:lang w:val="en-US"/>
              </w:rPr>
              <w:t>and Energy Transition in Tropical Contexts</w:t>
            </w:r>
          </w:p>
        </w:tc>
        <w:tc>
          <w:tcPr>
            <w:tcW w:w="3526" w:type="dxa"/>
            <w:tcBorders>
              <w:top w:val="none" w:sz="0" w:space="0" w:color="FFFFFF"/>
              <w:left w:val="none" w:sz="0" w:space="0" w:color="FFFFFF"/>
              <w:bottom w:val="none" w:sz="0" w:space="0" w:color="FFFFFF"/>
              <w:right w:val="none" w:sz="0" w:space="0" w:color="FFFFFF"/>
            </w:tcBorders>
            <w:shd w:val="clear" w:color="auto" w:fill="007B7F"/>
            <w:tcMar>
              <w:top w:w="200" w:type="dxa"/>
              <w:left w:w="160" w:type="dxa"/>
              <w:bottom w:w="200" w:type="dxa"/>
              <w:right w:w="280" w:type="dxa"/>
            </w:tcMar>
            <w:vAlign w:val="center"/>
          </w:tcPr>
          <w:p w14:paraId="2163F47A" w14:textId="77777777" w:rsidR="0069238D" w:rsidRPr="0014526F" w:rsidRDefault="00000000">
            <w:pPr>
              <w:jc w:val="right"/>
              <w:rPr>
                <w:lang w:val="en-US"/>
              </w:rPr>
            </w:pPr>
            <w:r w:rsidRPr="0014526F">
              <w:rPr>
                <w:rFonts w:ascii="Calibri" w:eastAsia="Calibri" w:hAnsi="Calibri" w:cs="Calibri"/>
                <w:b/>
                <w:bCs/>
                <w:color w:val="FFFFFF"/>
                <w:sz w:val="26"/>
                <w:szCs w:val="26"/>
                <w:lang w:val="en-US"/>
              </w:rPr>
              <w:t>August 3–4, 2026</w:t>
            </w:r>
          </w:p>
          <w:p w14:paraId="12A69E3A" w14:textId="77777777" w:rsidR="0069238D" w:rsidRPr="0014526F" w:rsidRDefault="00000000">
            <w:pPr>
              <w:spacing w:before="30"/>
              <w:jc w:val="right"/>
              <w:rPr>
                <w:lang w:val="en-US"/>
              </w:rPr>
            </w:pPr>
            <w:proofErr w:type="spellStart"/>
            <w:r w:rsidRPr="0014526F">
              <w:rPr>
                <w:rFonts w:ascii="Calibri" w:eastAsia="Calibri" w:hAnsi="Calibri" w:cs="Calibri"/>
                <w:color w:val="C8E6E6"/>
                <w:sz w:val="19"/>
                <w:szCs w:val="19"/>
                <w:lang w:val="en-US"/>
              </w:rPr>
              <w:t>Ebolowa</w:t>
            </w:r>
            <w:proofErr w:type="spellEnd"/>
            <w:r w:rsidRPr="0014526F">
              <w:rPr>
                <w:rFonts w:ascii="Calibri" w:eastAsia="Calibri" w:hAnsi="Calibri" w:cs="Calibri"/>
                <w:color w:val="C8E6E6"/>
                <w:sz w:val="19"/>
                <w:szCs w:val="19"/>
                <w:lang w:val="en-US"/>
              </w:rPr>
              <w:t>, Cameroon</w:t>
            </w:r>
          </w:p>
          <w:p w14:paraId="1D10C980" w14:textId="77777777" w:rsidR="0069238D" w:rsidRPr="0014526F" w:rsidRDefault="00000000">
            <w:pPr>
              <w:jc w:val="right"/>
              <w:rPr>
                <w:lang w:val="en-US"/>
              </w:rPr>
            </w:pPr>
            <w:r w:rsidRPr="0014526F">
              <w:rPr>
                <w:rFonts w:ascii="Calibri" w:eastAsia="Calibri" w:hAnsi="Calibri" w:cs="Calibri"/>
                <w:color w:val="A8D8DC"/>
                <w:sz w:val="18"/>
                <w:szCs w:val="18"/>
                <w:lang w:val="en-US"/>
              </w:rPr>
              <w:t>ACRITEE — 2nd Edition</w:t>
            </w:r>
          </w:p>
        </w:tc>
      </w:tr>
    </w:tbl>
    <w:p w14:paraId="60272653" w14:textId="77777777" w:rsidR="0069238D" w:rsidRPr="0014526F" w:rsidRDefault="0069238D">
      <w:pPr>
        <w:spacing w:before="180" w:after="40"/>
        <w:rPr>
          <w:lang w:val="en-US"/>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69238D" w14:paraId="773C37D3" w14:textId="77777777">
        <w:tblPrEx>
          <w:tblCellMar>
            <w:top w:w="0" w:type="dxa"/>
            <w:bottom w:w="0" w:type="dxa"/>
          </w:tblCellMar>
        </w:tblPrEx>
        <w:tc>
          <w:tcPr>
            <w:tcW w:w="9026" w:type="dxa"/>
            <w:tcBorders>
              <w:top w:val="none" w:sz="0" w:space="0" w:color="FFFFFF"/>
              <w:left w:val="thick" w:sz="24" w:space="0" w:color="C8960C"/>
              <w:bottom w:val="none" w:sz="0" w:space="0" w:color="FFFFFF"/>
              <w:right w:val="none" w:sz="0" w:space="0" w:color="FFFFFF"/>
            </w:tcBorders>
            <w:shd w:val="clear" w:color="auto" w:fill="FFFBEA"/>
            <w:tcMar>
              <w:top w:w="120" w:type="dxa"/>
              <w:left w:w="220" w:type="dxa"/>
              <w:bottom w:w="120" w:type="dxa"/>
              <w:right w:w="160" w:type="dxa"/>
            </w:tcMar>
          </w:tcPr>
          <w:p w14:paraId="58F62D7F" w14:textId="77777777" w:rsidR="0069238D" w:rsidRDefault="00000000">
            <w:r>
              <w:rPr>
                <w:rFonts w:ascii="Calibri" w:eastAsia="Calibri" w:hAnsi="Calibri" w:cs="Calibri"/>
                <w:b/>
                <w:bCs/>
                <w:color w:val="C8960C"/>
                <w:sz w:val="20"/>
                <w:szCs w:val="20"/>
              </w:rPr>
              <w:t xml:space="preserve">Track 1 — </w:t>
            </w:r>
            <w:proofErr w:type="spellStart"/>
            <w:r>
              <w:rPr>
                <w:rFonts w:ascii="Calibri" w:eastAsia="Calibri" w:hAnsi="Calibri" w:cs="Calibri"/>
                <w:color w:val="444444"/>
                <w:sz w:val="20"/>
                <w:szCs w:val="20"/>
              </w:rPr>
              <w:t>Renewable</w:t>
            </w:r>
            <w:proofErr w:type="spellEnd"/>
            <w:r>
              <w:rPr>
                <w:rFonts w:ascii="Calibri" w:eastAsia="Calibri" w:hAnsi="Calibri" w:cs="Calibri"/>
                <w:color w:val="444444"/>
                <w:sz w:val="20"/>
                <w:szCs w:val="20"/>
              </w:rPr>
              <w:t xml:space="preserve"> Energies, Smart Grids &amp; Energy Intelligence</w:t>
            </w:r>
          </w:p>
        </w:tc>
      </w:tr>
    </w:tbl>
    <w:p w14:paraId="5C369FEC" w14:textId="77777777" w:rsidR="0069238D" w:rsidRDefault="0069238D">
      <w:pPr>
        <w:spacing w:before="160" w:after="60"/>
      </w:pPr>
    </w:p>
    <w:p w14:paraId="36A20DC2" w14:textId="77777777" w:rsidR="0069238D" w:rsidRPr="0014526F" w:rsidRDefault="00000000">
      <w:pPr>
        <w:spacing w:before="80" w:after="60"/>
        <w:jc w:val="center"/>
        <w:rPr>
          <w:sz w:val="20"/>
          <w:szCs w:val="20"/>
          <w:lang w:val="en-US"/>
        </w:rPr>
      </w:pPr>
      <w:r w:rsidRPr="0014526F">
        <w:rPr>
          <w:rFonts w:ascii="Georgia" w:eastAsia="Georgia" w:hAnsi="Georgia" w:cs="Georgia"/>
          <w:b/>
          <w:bCs/>
          <w:color w:val="003366"/>
          <w:sz w:val="32"/>
          <w:szCs w:val="32"/>
          <w:lang w:val="en-US"/>
        </w:rPr>
        <w:t>ADAPTIVE MPPT-BASED HYBRID PV-DIESEL SYSTEM FOR OFF-GRID RURAL ELECTRIFICATION IN SUB-SAHARAN AFRICA: DESIGN, SIMULATION AND ECONOMIC ANALYSIS</w:t>
      </w:r>
    </w:p>
    <w:p w14:paraId="01F689F9" w14:textId="77777777" w:rsidR="0069238D" w:rsidRDefault="00000000">
      <w:pPr>
        <w:spacing w:after="40"/>
        <w:jc w:val="center"/>
      </w:pPr>
      <w:r>
        <w:rPr>
          <w:rFonts w:ascii="Georgia" w:eastAsia="Georgia" w:hAnsi="Georgia" w:cs="Georgia"/>
          <w:color w:val="888888"/>
          <w:sz w:val="26"/>
          <w:szCs w:val="26"/>
        </w:rPr>
        <w:t>Système hybride PV-diesel à MPPT adaptatif pour l'électrification rurale hors réseau en Afrique subsaharienne : conception, simulation et analyse économique</w:t>
      </w:r>
    </w:p>
    <w:p w14:paraId="6A17B54D" w14:textId="77777777" w:rsidR="0069238D" w:rsidRDefault="0069238D">
      <w:pPr>
        <w:pBdr>
          <w:bottom w:val="single" w:sz="10" w:space="1" w:color="007B7F"/>
        </w:pBdr>
      </w:pPr>
    </w:p>
    <w:p w14:paraId="2A932C62" w14:textId="77777777" w:rsidR="0069238D" w:rsidRDefault="0069238D">
      <w:pPr>
        <w:spacing w:before="120" w:after="80"/>
      </w:pPr>
    </w:p>
    <w:p w14:paraId="6B1A7B2C" w14:textId="77777777" w:rsidR="0069238D" w:rsidRDefault="00000000">
      <w:pPr>
        <w:spacing w:after="80"/>
      </w:pPr>
      <w:r>
        <w:rPr>
          <w:rFonts w:ascii="Calibri" w:eastAsia="Calibri" w:hAnsi="Calibri" w:cs="Calibri"/>
          <w:b/>
          <w:bCs/>
          <w:color w:val="003366"/>
        </w:rPr>
        <w:t>AUTHORS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37"/>
        <w:gridCol w:w="2456"/>
        <w:gridCol w:w="1194"/>
        <w:gridCol w:w="2145"/>
        <w:gridCol w:w="1494"/>
      </w:tblGrid>
      <w:tr w:rsidR="0069238D" w14:paraId="395D32B1" w14:textId="77777777" w:rsidTr="00534FF3">
        <w:tblPrEx>
          <w:tblCellMar>
            <w:top w:w="0" w:type="dxa"/>
            <w:bottom w:w="0" w:type="dxa"/>
          </w:tblCellMar>
        </w:tblPrEx>
        <w:tc>
          <w:tcPr>
            <w:tcW w:w="1737" w:type="dxa"/>
            <w:tcBorders>
              <w:top w:val="none" w:sz="0" w:space="0" w:color="FFFFFF"/>
              <w:left w:val="none" w:sz="0" w:space="0" w:color="FFFFFF"/>
              <w:bottom w:val="none" w:sz="0" w:space="0" w:color="FFFFFF"/>
              <w:right w:val="none" w:sz="0" w:space="0" w:color="FFFFFF"/>
            </w:tcBorders>
            <w:shd w:val="clear" w:color="auto" w:fill="003366"/>
            <w:tcMar>
              <w:top w:w="100" w:type="dxa"/>
              <w:left w:w="120" w:type="dxa"/>
              <w:bottom w:w="100" w:type="dxa"/>
              <w:right w:w="80" w:type="dxa"/>
            </w:tcMar>
            <w:vAlign w:val="center"/>
          </w:tcPr>
          <w:p w14:paraId="71F44370" w14:textId="77777777" w:rsidR="0069238D" w:rsidRDefault="00000000">
            <w:r>
              <w:rPr>
                <w:rFonts w:ascii="Calibri" w:eastAsia="Calibri" w:hAnsi="Calibri" w:cs="Calibri"/>
                <w:b/>
                <w:bCs/>
                <w:color w:val="FFFFFF"/>
                <w:sz w:val="18"/>
                <w:szCs w:val="18"/>
              </w:rPr>
              <w:t>First Name &amp; Last Name</w:t>
            </w:r>
          </w:p>
        </w:tc>
        <w:tc>
          <w:tcPr>
            <w:tcW w:w="2456" w:type="dxa"/>
            <w:tcBorders>
              <w:top w:val="none" w:sz="0" w:space="0" w:color="FFFFFF"/>
              <w:left w:val="none" w:sz="0" w:space="0" w:color="FFFFFF"/>
              <w:bottom w:val="none" w:sz="0" w:space="0" w:color="FFFFFF"/>
              <w:right w:val="none" w:sz="0" w:space="0" w:color="FFFFFF"/>
            </w:tcBorders>
            <w:shd w:val="clear" w:color="auto" w:fill="003366"/>
            <w:tcMar>
              <w:top w:w="100" w:type="dxa"/>
              <w:left w:w="120" w:type="dxa"/>
              <w:bottom w:w="100" w:type="dxa"/>
              <w:right w:w="80" w:type="dxa"/>
            </w:tcMar>
            <w:vAlign w:val="center"/>
          </w:tcPr>
          <w:p w14:paraId="42CC14A7" w14:textId="77777777" w:rsidR="0069238D" w:rsidRDefault="00000000">
            <w:r>
              <w:rPr>
                <w:rFonts w:ascii="Calibri" w:eastAsia="Calibri" w:hAnsi="Calibri" w:cs="Calibri"/>
                <w:b/>
                <w:bCs/>
                <w:color w:val="FFFFFF"/>
                <w:sz w:val="18"/>
                <w:szCs w:val="18"/>
              </w:rPr>
              <w:t xml:space="preserve">Institution / </w:t>
            </w:r>
            <w:proofErr w:type="spellStart"/>
            <w:r>
              <w:rPr>
                <w:rFonts w:ascii="Calibri" w:eastAsia="Calibri" w:hAnsi="Calibri" w:cs="Calibri"/>
                <w:b/>
                <w:bCs/>
                <w:color w:val="FFFFFF"/>
                <w:sz w:val="18"/>
                <w:szCs w:val="18"/>
              </w:rPr>
              <w:t>Laboratory</w:t>
            </w:r>
            <w:proofErr w:type="spellEnd"/>
          </w:p>
        </w:tc>
        <w:tc>
          <w:tcPr>
            <w:tcW w:w="1194" w:type="dxa"/>
            <w:tcBorders>
              <w:top w:val="none" w:sz="0" w:space="0" w:color="FFFFFF"/>
              <w:left w:val="none" w:sz="0" w:space="0" w:color="FFFFFF"/>
              <w:bottom w:val="none" w:sz="0" w:space="0" w:color="FFFFFF"/>
              <w:right w:val="none" w:sz="0" w:space="0" w:color="FFFFFF"/>
            </w:tcBorders>
            <w:shd w:val="clear" w:color="auto" w:fill="003366"/>
            <w:tcMar>
              <w:top w:w="100" w:type="dxa"/>
              <w:left w:w="120" w:type="dxa"/>
              <w:bottom w:w="100" w:type="dxa"/>
              <w:right w:w="80" w:type="dxa"/>
            </w:tcMar>
            <w:vAlign w:val="center"/>
          </w:tcPr>
          <w:p w14:paraId="2A4112FA" w14:textId="77777777" w:rsidR="0069238D" w:rsidRDefault="00000000">
            <w:r>
              <w:rPr>
                <w:rFonts w:ascii="Calibri" w:eastAsia="Calibri" w:hAnsi="Calibri" w:cs="Calibri"/>
                <w:b/>
                <w:bCs/>
                <w:color w:val="FFFFFF"/>
                <w:sz w:val="18"/>
                <w:szCs w:val="18"/>
              </w:rPr>
              <w:t>Country</w:t>
            </w:r>
          </w:p>
        </w:tc>
        <w:tc>
          <w:tcPr>
            <w:tcW w:w="2145" w:type="dxa"/>
            <w:tcBorders>
              <w:top w:val="none" w:sz="0" w:space="0" w:color="FFFFFF"/>
              <w:left w:val="none" w:sz="0" w:space="0" w:color="FFFFFF"/>
              <w:bottom w:val="none" w:sz="0" w:space="0" w:color="FFFFFF"/>
              <w:right w:val="none" w:sz="0" w:space="0" w:color="FFFFFF"/>
            </w:tcBorders>
            <w:shd w:val="clear" w:color="auto" w:fill="003366"/>
            <w:tcMar>
              <w:top w:w="100" w:type="dxa"/>
              <w:left w:w="120" w:type="dxa"/>
              <w:bottom w:w="100" w:type="dxa"/>
              <w:right w:w="80" w:type="dxa"/>
            </w:tcMar>
            <w:vAlign w:val="center"/>
          </w:tcPr>
          <w:p w14:paraId="1D81BF2A" w14:textId="77777777" w:rsidR="0069238D" w:rsidRDefault="00000000">
            <w:r>
              <w:rPr>
                <w:rFonts w:ascii="Calibri" w:eastAsia="Calibri" w:hAnsi="Calibri" w:cs="Calibri"/>
                <w:b/>
                <w:bCs/>
                <w:color w:val="FFFFFF"/>
                <w:sz w:val="18"/>
                <w:szCs w:val="18"/>
              </w:rPr>
              <w:t>E-mail</w:t>
            </w:r>
          </w:p>
        </w:tc>
        <w:tc>
          <w:tcPr>
            <w:tcW w:w="1494" w:type="dxa"/>
            <w:tcBorders>
              <w:top w:val="none" w:sz="0" w:space="0" w:color="FFFFFF"/>
              <w:left w:val="none" w:sz="0" w:space="0" w:color="FFFFFF"/>
              <w:bottom w:val="none" w:sz="0" w:space="0" w:color="FFFFFF"/>
              <w:right w:val="none" w:sz="0" w:space="0" w:color="FFFFFF"/>
            </w:tcBorders>
            <w:shd w:val="clear" w:color="auto" w:fill="003366"/>
            <w:tcMar>
              <w:top w:w="100" w:type="dxa"/>
              <w:left w:w="120" w:type="dxa"/>
              <w:bottom w:w="100" w:type="dxa"/>
              <w:right w:w="80" w:type="dxa"/>
            </w:tcMar>
            <w:vAlign w:val="center"/>
          </w:tcPr>
          <w:p w14:paraId="158F6688" w14:textId="77777777" w:rsidR="0069238D" w:rsidRDefault="00000000">
            <w:proofErr w:type="spellStart"/>
            <w:r>
              <w:rPr>
                <w:rFonts w:ascii="Calibri" w:eastAsia="Calibri" w:hAnsi="Calibri" w:cs="Calibri"/>
                <w:b/>
                <w:bCs/>
                <w:color w:val="FFFFFF"/>
                <w:sz w:val="18"/>
                <w:szCs w:val="18"/>
              </w:rPr>
              <w:t>Corresponding</w:t>
            </w:r>
            <w:proofErr w:type="spellEnd"/>
            <w:r>
              <w:rPr>
                <w:rFonts w:ascii="Calibri" w:eastAsia="Calibri" w:hAnsi="Calibri" w:cs="Calibri"/>
                <w:b/>
                <w:bCs/>
                <w:color w:val="FFFFFF"/>
                <w:sz w:val="18"/>
                <w:szCs w:val="18"/>
              </w:rPr>
              <w:t xml:space="preserve"> ?</w:t>
            </w:r>
          </w:p>
        </w:tc>
      </w:tr>
      <w:tr w:rsidR="0069238D" w14:paraId="0A0DDACD" w14:textId="77777777" w:rsidTr="00534FF3">
        <w:tblPrEx>
          <w:tblCellMar>
            <w:top w:w="0" w:type="dxa"/>
            <w:bottom w:w="0" w:type="dxa"/>
          </w:tblCellMar>
        </w:tblPrEx>
        <w:tc>
          <w:tcPr>
            <w:tcW w:w="173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476E8E7C" w14:textId="77777777" w:rsidR="0069238D" w:rsidRDefault="00000000">
            <w:r>
              <w:rPr>
                <w:rFonts w:ascii="Calibri" w:eastAsia="Calibri" w:hAnsi="Calibri" w:cs="Calibri"/>
                <w:color w:val="444444"/>
                <w:sz w:val="18"/>
                <w:szCs w:val="18"/>
              </w:rPr>
              <w:t>Emmanuel FOKOU MBASSI</w:t>
            </w:r>
          </w:p>
        </w:tc>
        <w:tc>
          <w:tcPr>
            <w:tcW w:w="24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775D113F" w14:textId="77777777" w:rsidR="0069238D" w:rsidRPr="0014526F" w:rsidRDefault="00000000">
            <w:pPr>
              <w:rPr>
                <w:lang w:val="en-US"/>
              </w:rPr>
            </w:pPr>
            <w:r w:rsidRPr="0014526F">
              <w:rPr>
                <w:rFonts w:ascii="Calibri" w:eastAsia="Calibri" w:hAnsi="Calibri" w:cs="Calibri"/>
                <w:color w:val="444444"/>
                <w:sz w:val="18"/>
                <w:szCs w:val="18"/>
                <w:lang w:val="en-US"/>
              </w:rPr>
              <w:t>ENSP — Univ. of Yaoundé I / LISIE Lab</w:t>
            </w:r>
          </w:p>
        </w:tc>
        <w:tc>
          <w:tcPr>
            <w:tcW w:w="1194"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486B94CC" w14:textId="77777777" w:rsidR="0069238D" w:rsidRDefault="00000000">
            <w:proofErr w:type="spellStart"/>
            <w:r>
              <w:rPr>
                <w:rFonts w:ascii="Calibri" w:eastAsia="Calibri" w:hAnsi="Calibri" w:cs="Calibri"/>
                <w:color w:val="444444"/>
                <w:sz w:val="18"/>
                <w:szCs w:val="18"/>
              </w:rPr>
              <w:t>Cameroon</w:t>
            </w:r>
            <w:proofErr w:type="spellEnd"/>
          </w:p>
        </w:tc>
        <w:tc>
          <w:tcPr>
            <w:tcW w:w="2145"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62383A23" w14:textId="77777777" w:rsidR="0069238D" w:rsidRDefault="00000000">
            <w:r>
              <w:rPr>
                <w:rFonts w:ascii="Calibri" w:eastAsia="Calibri" w:hAnsi="Calibri" w:cs="Calibri"/>
                <w:color w:val="444444"/>
                <w:sz w:val="18"/>
                <w:szCs w:val="18"/>
              </w:rPr>
              <w:t>e.fokoumbassi@ensp.cm</w:t>
            </w:r>
          </w:p>
        </w:tc>
        <w:tc>
          <w:tcPr>
            <w:tcW w:w="1494"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221B3D5D" w14:textId="77777777" w:rsidR="0069238D" w:rsidRDefault="00000000">
            <w:proofErr w:type="gramStart"/>
            <w:r>
              <w:rPr>
                <w:rFonts w:ascii="Calibri" w:eastAsia="Calibri" w:hAnsi="Calibri" w:cs="Calibri"/>
                <w:color w:val="444444"/>
                <w:sz w:val="18"/>
                <w:szCs w:val="18"/>
              </w:rPr>
              <w:t>☑  Yes</w:t>
            </w:r>
            <w:proofErr w:type="gramEnd"/>
          </w:p>
        </w:tc>
      </w:tr>
      <w:tr w:rsidR="0069238D" w14:paraId="25AB08C1" w14:textId="77777777" w:rsidTr="00534FF3">
        <w:tblPrEx>
          <w:tblCellMar>
            <w:top w:w="0" w:type="dxa"/>
            <w:bottom w:w="0" w:type="dxa"/>
          </w:tblCellMar>
        </w:tblPrEx>
        <w:tc>
          <w:tcPr>
            <w:tcW w:w="173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508F9EEC" w14:textId="77777777" w:rsidR="0069238D" w:rsidRDefault="00000000">
            <w:r>
              <w:rPr>
                <w:rFonts w:ascii="Calibri" w:eastAsia="Calibri" w:hAnsi="Calibri" w:cs="Calibri"/>
                <w:color w:val="444444"/>
                <w:sz w:val="18"/>
                <w:szCs w:val="18"/>
              </w:rPr>
              <w:t>Aminata DIALLO</w:t>
            </w:r>
          </w:p>
        </w:tc>
        <w:tc>
          <w:tcPr>
            <w:tcW w:w="24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30D0A345" w14:textId="77777777" w:rsidR="0069238D" w:rsidRPr="0014526F" w:rsidRDefault="00000000">
            <w:pPr>
              <w:rPr>
                <w:lang w:val="en-US"/>
              </w:rPr>
            </w:pPr>
            <w:r w:rsidRPr="0014526F">
              <w:rPr>
                <w:rFonts w:ascii="Calibri" w:eastAsia="Calibri" w:hAnsi="Calibri" w:cs="Calibri"/>
                <w:color w:val="444444"/>
                <w:sz w:val="18"/>
                <w:szCs w:val="18"/>
                <w:lang w:val="en-US"/>
              </w:rPr>
              <w:t>Cheikh Anta Diop Univ. / LER Lab</w:t>
            </w:r>
          </w:p>
        </w:tc>
        <w:tc>
          <w:tcPr>
            <w:tcW w:w="1194"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4F14583F" w14:textId="77777777" w:rsidR="0069238D" w:rsidRDefault="00000000">
            <w:r>
              <w:rPr>
                <w:rFonts w:ascii="Calibri" w:eastAsia="Calibri" w:hAnsi="Calibri" w:cs="Calibri"/>
                <w:color w:val="444444"/>
                <w:sz w:val="18"/>
                <w:szCs w:val="18"/>
              </w:rPr>
              <w:t>Senegal</w:t>
            </w:r>
          </w:p>
        </w:tc>
        <w:tc>
          <w:tcPr>
            <w:tcW w:w="2145"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5A8A3BFB" w14:textId="77777777" w:rsidR="0069238D" w:rsidRDefault="00000000">
            <w:r>
              <w:rPr>
                <w:rFonts w:ascii="Calibri" w:eastAsia="Calibri" w:hAnsi="Calibri" w:cs="Calibri"/>
                <w:color w:val="444444"/>
                <w:sz w:val="18"/>
                <w:szCs w:val="18"/>
              </w:rPr>
              <w:t>a.diallo@ucad.edu.sn</w:t>
            </w:r>
          </w:p>
        </w:tc>
        <w:tc>
          <w:tcPr>
            <w:tcW w:w="1494"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042BF6E3" w14:textId="77777777" w:rsidR="0069238D" w:rsidRDefault="0069238D"/>
        </w:tc>
      </w:tr>
      <w:tr w:rsidR="0069238D" w14:paraId="2F4CE1BF" w14:textId="77777777" w:rsidTr="00534FF3">
        <w:tblPrEx>
          <w:tblCellMar>
            <w:top w:w="0" w:type="dxa"/>
            <w:bottom w:w="0" w:type="dxa"/>
          </w:tblCellMar>
        </w:tblPrEx>
        <w:tc>
          <w:tcPr>
            <w:tcW w:w="173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2D7BA6FC" w14:textId="77777777" w:rsidR="0069238D" w:rsidRDefault="00000000">
            <w:r>
              <w:rPr>
                <w:rFonts w:ascii="Calibri" w:eastAsia="Calibri" w:hAnsi="Calibri" w:cs="Calibri"/>
                <w:color w:val="444444"/>
                <w:sz w:val="18"/>
                <w:szCs w:val="18"/>
              </w:rPr>
              <w:t>Jean-Pierre NGOMA</w:t>
            </w:r>
          </w:p>
        </w:tc>
        <w:tc>
          <w:tcPr>
            <w:tcW w:w="24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7BC1E756" w14:textId="77777777" w:rsidR="0069238D" w:rsidRPr="0014526F" w:rsidRDefault="00000000">
            <w:pPr>
              <w:rPr>
                <w:lang w:val="en-US"/>
              </w:rPr>
            </w:pPr>
            <w:r w:rsidRPr="0014526F">
              <w:rPr>
                <w:rFonts w:ascii="Calibri" w:eastAsia="Calibri" w:hAnsi="Calibri" w:cs="Calibri"/>
                <w:color w:val="444444"/>
                <w:sz w:val="18"/>
                <w:szCs w:val="18"/>
                <w:lang w:val="en-US"/>
              </w:rPr>
              <w:t>Univ. of Kinshasa / EPFL Lab</w:t>
            </w:r>
          </w:p>
        </w:tc>
        <w:tc>
          <w:tcPr>
            <w:tcW w:w="1194"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58D4CD9E" w14:textId="77777777" w:rsidR="0069238D" w:rsidRDefault="00000000">
            <w:r>
              <w:rPr>
                <w:rFonts w:ascii="Calibri" w:eastAsia="Calibri" w:hAnsi="Calibri" w:cs="Calibri"/>
                <w:color w:val="444444"/>
                <w:sz w:val="18"/>
                <w:szCs w:val="18"/>
              </w:rPr>
              <w:t>DR Congo</w:t>
            </w:r>
          </w:p>
        </w:tc>
        <w:tc>
          <w:tcPr>
            <w:tcW w:w="2145"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76E11E81" w14:textId="77777777" w:rsidR="0069238D" w:rsidRDefault="00000000">
            <w:r>
              <w:rPr>
                <w:rFonts w:ascii="Calibri" w:eastAsia="Calibri" w:hAnsi="Calibri" w:cs="Calibri"/>
                <w:color w:val="444444"/>
                <w:sz w:val="18"/>
                <w:szCs w:val="18"/>
              </w:rPr>
              <w:t>jp.ngoma@unikin.ac.cd</w:t>
            </w:r>
          </w:p>
        </w:tc>
        <w:tc>
          <w:tcPr>
            <w:tcW w:w="1494"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355C4196" w14:textId="77777777" w:rsidR="0069238D" w:rsidRDefault="0069238D"/>
        </w:tc>
      </w:tr>
    </w:tbl>
    <w:p w14:paraId="659EC05A" w14:textId="77777777" w:rsidR="0069238D" w:rsidRDefault="0069238D">
      <w:pPr>
        <w:pBdr>
          <w:bottom w:val="single" w:sz="4" w:space="1" w:color="CCCCCC"/>
        </w:pBdr>
      </w:pPr>
    </w:p>
    <w:p w14:paraId="16463016" w14:textId="77777777" w:rsidR="0069238D" w:rsidRDefault="00000000">
      <w:pPr>
        <w:pStyle w:val="Titre1"/>
      </w:pPr>
      <w:r>
        <w:t>1.  Résumé / Abstract</w:t>
      </w:r>
    </w:p>
    <w:p w14:paraId="1DAF8B58" w14:textId="77777777" w:rsidR="0069238D" w:rsidRDefault="0069238D">
      <w:pPr>
        <w:pBdr>
          <w:bottom w:val="single" w:sz="6" w:space="1" w:color="007B7F"/>
        </w:pBdr>
      </w:pPr>
    </w:p>
    <w:p w14:paraId="72817027" w14:textId="77777777" w:rsidR="0069238D" w:rsidRDefault="0069238D">
      <w:pPr>
        <w:spacing w:before="80" w:after="40"/>
      </w:pPr>
    </w:p>
    <w:p w14:paraId="6AB8896B" w14:textId="77777777" w:rsidR="0069238D" w:rsidRDefault="00000000">
      <w:pPr>
        <w:spacing w:before="40" w:after="60"/>
      </w:pPr>
      <w:r>
        <w:rPr>
          <w:rFonts w:ascii="Calibri" w:eastAsia="Calibri" w:hAnsi="Calibri" w:cs="Calibri"/>
          <w:b/>
          <w:bCs/>
          <w:color w:val="003366"/>
        </w:rPr>
        <w:t xml:space="preserve">Résumé (Français) — </w:t>
      </w:r>
      <w:r>
        <w:rPr>
          <w:rFonts w:ascii="Calibri" w:eastAsia="Calibri" w:hAnsi="Calibri" w:cs="Calibri"/>
          <w:color w:val="888888"/>
          <w:sz w:val="20"/>
          <w:szCs w:val="20"/>
        </w:rPr>
        <w:t>Calibri 10 pt — interligne simple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69238D" w14:paraId="7F236CCD" w14:textId="77777777">
        <w:tblPrEx>
          <w:tblCellMar>
            <w:top w:w="0" w:type="dxa"/>
            <w:bottom w:w="0" w:type="dxa"/>
          </w:tblCellMar>
        </w:tblPrEx>
        <w:tc>
          <w:tcPr>
            <w:tcW w:w="9026" w:type="dxa"/>
            <w:tcBorders>
              <w:top w:val="none" w:sz="0" w:space="0" w:color="FFFFFF"/>
              <w:left w:val="thick" w:sz="24" w:space="0" w:color="007B7F"/>
              <w:bottom w:val="none" w:sz="0" w:space="0" w:color="FFFFFF"/>
              <w:right w:val="none" w:sz="0" w:space="0" w:color="FFFFFF"/>
            </w:tcBorders>
            <w:shd w:val="clear" w:color="auto" w:fill="EAF4F4"/>
            <w:tcMar>
              <w:top w:w="120" w:type="dxa"/>
              <w:left w:w="220" w:type="dxa"/>
              <w:bottom w:w="120" w:type="dxa"/>
              <w:right w:w="160" w:type="dxa"/>
            </w:tcMar>
          </w:tcPr>
          <w:p w14:paraId="447CB473" w14:textId="77777777" w:rsidR="0069238D" w:rsidRDefault="00000000">
            <w:pPr>
              <w:spacing w:before="60" w:after="60"/>
              <w:jc w:val="both"/>
            </w:pPr>
            <w:r>
              <w:rPr>
                <w:rFonts w:ascii="Calibri" w:eastAsia="Calibri" w:hAnsi="Calibri" w:cs="Calibri"/>
                <w:color w:val="444444"/>
                <w:sz w:val="20"/>
                <w:szCs w:val="20"/>
              </w:rPr>
              <w:t xml:space="preserve">L'accès à l'électricité reste un défi majeur pour les communautés rurales d'Afrique subsaharienne, où le taux d'électrification demeure inférieur à 35 % dans de nombreux pays. Cet article présente la conception, la simulation et l'analyse économique d'un système hybride photovoltaïque-diesel à commande MPPT adaptative destiné à l'électrification hors réseau d'un village de 150 ménages au Cameroun. Le système intègre un générateur PV de 350 </w:t>
            </w:r>
            <w:proofErr w:type="spellStart"/>
            <w:r>
              <w:rPr>
                <w:rFonts w:ascii="Calibri" w:eastAsia="Calibri" w:hAnsi="Calibri" w:cs="Calibri"/>
                <w:color w:val="444444"/>
                <w:sz w:val="20"/>
                <w:szCs w:val="20"/>
              </w:rPr>
              <w:t>Wc</w:t>
            </w:r>
            <w:proofErr w:type="spellEnd"/>
            <w:r>
              <w:rPr>
                <w:rFonts w:ascii="Calibri" w:eastAsia="Calibri" w:hAnsi="Calibri" w:cs="Calibri"/>
                <w:color w:val="444444"/>
                <w:sz w:val="20"/>
                <w:szCs w:val="20"/>
              </w:rPr>
              <w:t>, un banc de batteries de 400 Ah et un groupe électrogène diesel de 5 kVA géré par un algorithme MPPT adaptatif basé sur la logique floue. La simulation sous MATLAB/Simulink sur une période d'un an révèle un rendement de suivi MPPT de 97,5 % à 25 °C, un coût actualisé de l'énergie (LCOE) de 0,17 USD/kWh et une réduction des émissions de CO₂ de 1 945 kg/an par rapport à un système 100 % diesel. Ces résultats démontrent la supériorité technico-économique du système proposé vis-à-vis des solutions existantes et ouvrent des perspectives prometteuses pour le déploiement à grande échelle en contexte tropical.</w:t>
            </w:r>
          </w:p>
        </w:tc>
      </w:tr>
    </w:tbl>
    <w:p w14:paraId="0D11EA30" w14:textId="77777777" w:rsidR="0069238D" w:rsidRDefault="0069238D">
      <w:pPr>
        <w:spacing w:before="120" w:after="60"/>
      </w:pPr>
    </w:p>
    <w:p w14:paraId="0AD604EC" w14:textId="77777777" w:rsidR="00777732" w:rsidRDefault="00777732">
      <w:pPr>
        <w:spacing w:before="40" w:after="60"/>
        <w:rPr>
          <w:rFonts w:ascii="Calibri" w:eastAsia="Calibri" w:hAnsi="Calibri" w:cs="Calibri"/>
          <w:b/>
          <w:bCs/>
          <w:color w:val="003366"/>
          <w:lang w:val="en-US"/>
        </w:rPr>
      </w:pPr>
    </w:p>
    <w:p w14:paraId="1B6D6D0B" w14:textId="77777777" w:rsidR="00777732" w:rsidRDefault="00777732">
      <w:pPr>
        <w:spacing w:before="40" w:after="60"/>
        <w:rPr>
          <w:rFonts w:ascii="Calibri" w:eastAsia="Calibri" w:hAnsi="Calibri" w:cs="Calibri"/>
          <w:b/>
          <w:bCs/>
          <w:color w:val="003366"/>
          <w:lang w:val="en-US"/>
        </w:rPr>
      </w:pPr>
    </w:p>
    <w:p w14:paraId="0351F4B4" w14:textId="4F877A58" w:rsidR="0069238D" w:rsidRPr="0014526F" w:rsidRDefault="00000000">
      <w:pPr>
        <w:spacing w:before="40" w:after="60"/>
        <w:rPr>
          <w:lang w:val="en-US"/>
        </w:rPr>
      </w:pPr>
      <w:r w:rsidRPr="0014526F">
        <w:rPr>
          <w:rFonts w:ascii="Calibri" w:eastAsia="Calibri" w:hAnsi="Calibri" w:cs="Calibri"/>
          <w:b/>
          <w:bCs/>
          <w:color w:val="003366"/>
          <w:lang w:val="en-US"/>
        </w:rPr>
        <w:lastRenderedPageBreak/>
        <w:t xml:space="preserve">Abstract (English) — </w:t>
      </w:r>
      <w:r w:rsidRPr="0014526F">
        <w:rPr>
          <w:rFonts w:ascii="Calibri" w:eastAsia="Calibri" w:hAnsi="Calibri" w:cs="Calibri"/>
          <w:color w:val="888888"/>
          <w:sz w:val="20"/>
          <w:szCs w:val="20"/>
          <w:lang w:val="en-US"/>
        </w:rPr>
        <w:t>Calibri 10 pt — single spacing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69238D" w:rsidRPr="0014526F" w14:paraId="05CFB87D" w14:textId="77777777">
        <w:tblPrEx>
          <w:tblCellMar>
            <w:top w:w="0" w:type="dxa"/>
            <w:bottom w:w="0" w:type="dxa"/>
          </w:tblCellMar>
        </w:tblPrEx>
        <w:tc>
          <w:tcPr>
            <w:tcW w:w="9026" w:type="dxa"/>
            <w:tcBorders>
              <w:top w:val="none" w:sz="0" w:space="0" w:color="FFFFFF"/>
              <w:left w:val="thick" w:sz="24" w:space="0" w:color="C8960C"/>
              <w:bottom w:val="none" w:sz="0" w:space="0" w:color="FFFFFF"/>
              <w:right w:val="none" w:sz="0" w:space="0" w:color="FFFFFF"/>
            </w:tcBorders>
            <w:shd w:val="clear" w:color="auto" w:fill="FFFBEA"/>
            <w:tcMar>
              <w:top w:w="120" w:type="dxa"/>
              <w:left w:w="220" w:type="dxa"/>
              <w:bottom w:w="120" w:type="dxa"/>
              <w:right w:w="160" w:type="dxa"/>
            </w:tcMar>
          </w:tcPr>
          <w:p w14:paraId="7A2558E1" w14:textId="77777777" w:rsidR="0069238D" w:rsidRPr="0014526F" w:rsidRDefault="00000000">
            <w:pPr>
              <w:spacing w:before="60" w:after="60"/>
              <w:jc w:val="both"/>
              <w:rPr>
                <w:lang w:val="en-US"/>
              </w:rPr>
            </w:pPr>
            <w:r w:rsidRPr="0014526F">
              <w:rPr>
                <w:rFonts w:ascii="Calibri" w:eastAsia="Calibri" w:hAnsi="Calibri" w:cs="Calibri"/>
                <w:color w:val="444444"/>
                <w:sz w:val="20"/>
                <w:szCs w:val="20"/>
                <w:lang w:val="en-US"/>
              </w:rPr>
              <w:t xml:space="preserve">Access to electricity remains a critical challenge for rural communities across Sub-Saharan Africa, where electrification rates are below 35% in many countries. This paper presents the design, simulation and economic analysis of an adaptive MPPT-controlled photovoltaic-diesel hybrid system for off-grid electrification of a 150-household village in Cameroon. The system integrates a 350 Wp PV array, a 400 Ah battery bank, and a 5 kVA diesel generator managed by a fuzzy-logic-based adaptive MPPT algorithm. Annual simulation under MATLAB/Simulink reveals a tracking efficiency of 97.5% at 25°C, a </w:t>
            </w:r>
            <w:proofErr w:type="spellStart"/>
            <w:r w:rsidRPr="0014526F">
              <w:rPr>
                <w:rFonts w:ascii="Calibri" w:eastAsia="Calibri" w:hAnsi="Calibri" w:cs="Calibri"/>
                <w:color w:val="444444"/>
                <w:sz w:val="20"/>
                <w:szCs w:val="20"/>
                <w:lang w:val="en-US"/>
              </w:rPr>
              <w:t>levelised</w:t>
            </w:r>
            <w:proofErr w:type="spellEnd"/>
            <w:r w:rsidRPr="0014526F">
              <w:rPr>
                <w:rFonts w:ascii="Calibri" w:eastAsia="Calibri" w:hAnsi="Calibri" w:cs="Calibri"/>
                <w:color w:val="444444"/>
                <w:sz w:val="20"/>
                <w:szCs w:val="20"/>
                <w:lang w:val="en-US"/>
              </w:rPr>
              <w:t xml:space="preserve"> cost of energy (LCOE) of USD 0.17/kWh, and a CO₂ emission reduction of 1,945 kg/year compared to a 100% diesel baseline. These results demonstrate the techno-economic superiority of the proposed system over existing solutions and open promising prospects for large-scale deployment in tropical contexts.</w:t>
            </w:r>
          </w:p>
        </w:tc>
      </w:tr>
    </w:tbl>
    <w:p w14:paraId="0CE54A7C" w14:textId="77777777" w:rsidR="0069238D" w:rsidRPr="0014526F" w:rsidRDefault="0069238D">
      <w:pPr>
        <w:spacing w:before="120" w:after="60"/>
        <w:rPr>
          <w:lang w:val="en-US"/>
        </w:rPr>
      </w:pPr>
    </w:p>
    <w:p w14:paraId="53673DEE" w14:textId="77777777" w:rsidR="0069238D" w:rsidRPr="0014526F" w:rsidRDefault="00000000">
      <w:pPr>
        <w:spacing w:before="40" w:after="60"/>
        <w:rPr>
          <w:lang w:val="en-US"/>
        </w:rPr>
      </w:pPr>
      <w:r w:rsidRPr="0014526F">
        <w:rPr>
          <w:rFonts w:ascii="Calibri" w:eastAsia="Calibri" w:hAnsi="Calibri" w:cs="Calibri"/>
          <w:b/>
          <w:bCs/>
          <w:color w:val="003366"/>
          <w:lang w:val="en-US"/>
        </w:rPr>
        <w:t xml:space="preserve">Keywords: </w:t>
      </w:r>
      <w:r w:rsidRPr="0014526F">
        <w:rPr>
          <w:rFonts w:ascii="Calibri" w:eastAsia="Calibri" w:hAnsi="Calibri" w:cs="Calibri"/>
          <w:color w:val="444444"/>
          <w:sz w:val="20"/>
          <w:szCs w:val="20"/>
          <w:lang w:val="en-US"/>
        </w:rPr>
        <w:t xml:space="preserve">Hybrid PV-Diesel </w:t>
      </w:r>
      <w:proofErr w:type="gramStart"/>
      <w:r w:rsidRPr="0014526F">
        <w:rPr>
          <w:rFonts w:ascii="Calibri" w:eastAsia="Calibri" w:hAnsi="Calibri" w:cs="Calibri"/>
          <w:color w:val="444444"/>
          <w:sz w:val="20"/>
          <w:szCs w:val="20"/>
          <w:lang w:val="en-US"/>
        </w:rPr>
        <w:t>system ;</w:t>
      </w:r>
      <w:proofErr w:type="gramEnd"/>
      <w:r w:rsidRPr="0014526F">
        <w:rPr>
          <w:rFonts w:ascii="Calibri" w:eastAsia="Calibri" w:hAnsi="Calibri" w:cs="Calibri"/>
          <w:color w:val="444444"/>
          <w:sz w:val="20"/>
          <w:szCs w:val="20"/>
          <w:lang w:val="en-US"/>
        </w:rPr>
        <w:t xml:space="preserve"> Adaptive </w:t>
      </w:r>
      <w:proofErr w:type="gramStart"/>
      <w:r w:rsidRPr="0014526F">
        <w:rPr>
          <w:rFonts w:ascii="Calibri" w:eastAsia="Calibri" w:hAnsi="Calibri" w:cs="Calibri"/>
          <w:color w:val="444444"/>
          <w:sz w:val="20"/>
          <w:szCs w:val="20"/>
          <w:lang w:val="en-US"/>
        </w:rPr>
        <w:t>MPPT ;</w:t>
      </w:r>
      <w:proofErr w:type="gramEnd"/>
      <w:r w:rsidRPr="0014526F">
        <w:rPr>
          <w:rFonts w:ascii="Calibri" w:eastAsia="Calibri" w:hAnsi="Calibri" w:cs="Calibri"/>
          <w:color w:val="444444"/>
          <w:sz w:val="20"/>
          <w:szCs w:val="20"/>
          <w:lang w:val="en-US"/>
        </w:rPr>
        <w:t xml:space="preserve"> Fuzzy </w:t>
      </w:r>
      <w:proofErr w:type="gramStart"/>
      <w:r w:rsidRPr="0014526F">
        <w:rPr>
          <w:rFonts w:ascii="Calibri" w:eastAsia="Calibri" w:hAnsi="Calibri" w:cs="Calibri"/>
          <w:color w:val="444444"/>
          <w:sz w:val="20"/>
          <w:szCs w:val="20"/>
          <w:lang w:val="en-US"/>
        </w:rPr>
        <w:t>logic ;</w:t>
      </w:r>
      <w:proofErr w:type="gramEnd"/>
      <w:r w:rsidRPr="0014526F">
        <w:rPr>
          <w:rFonts w:ascii="Calibri" w:eastAsia="Calibri" w:hAnsi="Calibri" w:cs="Calibri"/>
          <w:color w:val="444444"/>
          <w:sz w:val="20"/>
          <w:szCs w:val="20"/>
          <w:lang w:val="en-US"/>
        </w:rPr>
        <w:t xml:space="preserve"> Off-grid </w:t>
      </w:r>
      <w:proofErr w:type="gramStart"/>
      <w:r w:rsidRPr="0014526F">
        <w:rPr>
          <w:rFonts w:ascii="Calibri" w:eastAsia="Calibri" w:hAnsi="Calibri" w:cs="Calibri"/>
          <w:color w:val="444444"/>
          <w:sz w:val="20"/>
          <w:szCs w:val="20"/>
          <w:lang w:val="en-US"/>
        </w:rPr>
        <w:t>electrification ;</w:t>
      </w:r>
      <w:proofErr w:type="gramEnd"/>
      <w:r w:rsidRPr="0014526F">
        <w:rPr>
          <w:rFonts w:ascii="Calibri" w:eastAsia="Calibri" w:hAnsi="Calibri" w:cs="Calibri"/>
          <w:color w:val="444444"/>
          <w:sz w:val="20"/>
          <w:szCs w:val="20"/>
          <w:lang w:val="en-US"/>
        </w:rPr>
        <w:t xml:space="preserve"> Sub-Saharan </w:t>
      </w:r>
      <w:proofErr w:type="gramStart"/>
      <w:r w:rsidRPr="0014526F">
        <w:rPr>
          <w:rFonts w:ascii="Calibri" w:eastAsia="Calibri" w:hAnsi="Calibri" w:cs="Calibri"/>
          <w:color w:val="444444"/>
          <w:sz w:val="20"/>
          <w:szCs w:val="20"/>
          <w:lang w:val="en-US"/>
        </w:rPr>
        <w:t>Africa ;</w:t>
      </w:r>
      <w:proofErr w:type="gramEnd"/>
      <w:r w:rsidRPr="0014526F">
        <w:rPr>
          <w:rFonts w:ascii="Calibri" w:eastAsia="Calibri" w:hAnsi="Calibri" w:cs="Calibri"/>
          <w:color w:val="444444"/>
          <w:sz w:val="20"/>
          <w:szCs w:val="20"/>
          <w:lang w:val="en-US"/>
        </w:rPr>
        <w:t xml:space="preserve"> LCOE</w:t>
      </w:r>
    </w:p>
    <w:p w14:paraId="6570FFC4" w14:textId="77777777" w:rsidR="0069238D" w:rsidRPr="0014526F" w:rsidRDefault="0069238D">
      <w:pPr>
        <w:pBdr>
          <w:bottom w:val="single" w:sz="4" w:space="1" w:color="CCCCCC"/>
        </w:pBdr>
        <w:rPr>
          <w:lang w:val="en-US"/>
        </w:rPr>
      </w:pPr>
    </w:p>
    <w:p w14:paraId="3B10E4BC" w14:textId="77777777" w:rsidR="0069238D" w:rsidRDefault="00000000">
      <w:pPr>
        <w:pStyle w:val="Titre1"/>
      </w:pPr>
      <w:r>
        <w:t>2.  Introduction</w:t>
      </w:r>
    </w:p>
    <w:p w14:paraId="1223D4AB" w14:textId="77777777" w:rsidR="0069238D" w:rsidRDefault="0069238D">
      <w:pPr>
        <w:pBdr>
          <w:bottom w:val="single" w:sz="6" w:space="1" w:color="007B7F"/>
        </w:pBdr>
      </w:pPr>
    </w:p>
    <w:p w14:paraId="03A26BD5" w14:textId="77777777" w:rsidR="0069238D" w:rsidRDefault="0069238D">
      <w:pPr>
        <w:spacing w:before="80" w:after="40"/>
      </w:pPr>
    </w:p>
    <w:p w14:paraId="090F7757" w14:textId="77777777" w:rsidR="0069238D" w:rsidRPr="0014526F" w:rsidRDefault="00000000" w:rsidP="0014526F">
      <w:pPr>
        <w:spacing w:line="276" w:lineRule="auto"/>
        <w:jc w:val="both"/>
        <w:rPr>
          <w:lang w:val="en-US"/>
        </w:rPr>
      </w:pPr>
      <w:r w:rsidRPr="0014526F">
        <w:rPr>
          <w:color w:val="444444"/>
          <w:lang w:val="en-US"/>
        </w:rPr>
        <w:t>Access to reliable electricity is a fundamental enabler of socio-economic development, yet approximately 600 million people in Sub-Saharan Africa remain without access to the grid [1]. In Cameroon alone, the rural electrification rate was estimated at 21% in 2023, with many communities relying on expensive diesel generators or biomass combustion [2]. The intermittent and costly nature of these solutions calls for the development of sustainable, cost-effective alternatives.</w:t>
      </w:r>
    </w:p>
    <w:p w14:paraId="3161F77C" w14:textId="77777777" w:rsidR="0069238D" w:rsidRPr="0014526F" w:rsidRDefault="0069238D" w:rsidP="0014526F">
      <w:pPr>
        <w:rPr>
          <w:lang w:val="en-US"/>
        </w:rPr>
      </w:pPr>
    </w:p>
    <w:p w14:paraId="16601057" w14:textId="77777777" w:rsidR="0069238D" w:rsidRPr="0014526F" w:rsidRDefault="00000000" w:rsidP="0014526F">
      <w:pPr>
        <w:spacing w:line="276" w:lineRule="auto"/>
        <w:jc w:val="both"/>
        <w:rPr>
          <w:lang w:val="en-US"/>
        </w:rPr>
      </w:pPr>
      <w:r w:rsidRPr="0014526F">
        <w:rPr>
          <w:color w:val="444444"/>
          <w:lang w:val="en-US"/>
        </w:rPr>
        <w:t>Photovoltaic (PV) hybrid systems have emerged as a technically viable and economically competitive option for off-grid rural electrification in tropical regions, where solar irradiance averages between 4.0 and 5.8 kWh/m²/day [3]. However, the efficiency of such systems in tropical conditions is constrained by two main factors: (</w:t>
      </w:r>
      <w:proofErr w:type="spellStart"/>
      <w:r w:rsidRPr="0014526F">
        <w:rPr>
          <w:color w:val="444444"/>
          <w:lang w:val="en-US"/>
        </w:rPr>
        <w:t>i</w:t>
      </w:r>
      <w:proofErr w:type="spellEnd"/>
      <w:r w:rsidRPr="0014526F">
        <w:rPr>
          <w:color w:val="444444"/>
          <w:lang w:val="en-US"/>
        </w:rPr>
        <w:t>) high ambient temperatures that reduce PV module efficiency, and (ii) rapid irradiance fluctuations due to cloud cover that cause conventional Maximum Power Point Tracking (MPPT) algorithms to oscillate around the optimal operating point [4].</w:t>
      </w:r>
    </w:p>
    <w:p w14:paraId="7E5F873C" w14:textId="77777777" w:rsidR="0069238D" w:rsidRPr="0014526F" w:rsidRDefault="0069238D" w:rsidP="0014526F">
      <w:pPr>
        <w:rPr>
          <w:lang w:val="en-US"/>
        </w:rPr>
      </w:pPr>
    </w:p>
    <w:p w14:paraId="31D3FA64" w14:textId="77777777" w:rsidR="0069238D" w:rsidRPr="0014526F" w:rsidRDefault="00000000" w:rsidP="0014526F">
      <w:pPr>
        <w:spacing w:line="276" w:lineRule="auto"/>
        <w:jc w:val="both"/>
        <w:rPr>
          <w:lang w:val="en-US"/>
        </w:rPr>
      </w:pPr>
      <w:r w:rsidRPr="0014526F">
        <w:rPr>
          <w:color w:val="444444"/>
          <w:lang w:val="en-US"/>
        </w:rPr>
        <w:t>The Perturb-and-Observe (P&amp;O) algorithm, widely used in commercial controllers, exhibits significant steady-state oscillations and poor dynamic response under fast-changing irradiance conditions [5]. Fuzzy-logic-based adaptive MPPT controllers have been proposed to address these limitations [6], [7], but their application to PV-diesel hybrid systems in Sub-Saharan African contexts remains underexplored in the literature.</w:t>
      </w:r>
    </w:p>
    <w:p w14:paraId="2C398FE4" w14:textId="77777777" w:rsidR="0069238D" w:rsidRPr="0014526F" w:rsidRDefault="0069238D" w:rsidP="0014526F">
      <w:pPr>
        <w:rPr>
          <w:lang w:val="en-US"/>
        </w:rPr>
      </w:pPr>
    </w:p>
    <w:p w14:paraId="3751F532" w14:textId="77777777" w:rsidR="0069238D" w:rsidRPr="0014526F" w:rsidRDefault="00000000" w:rsidP="0014526F">
      <w:pPr>
        <w:spacing w:line="276" w:lineRule="auto"/>
        <w:jc w:val="both"/>
        <w:rPr>
          <w:lang w:val="en-US"/>
        </w:rPr>
      </w:pPr>
      <w:r w:rsidRPr="0014526F">
        <w:rPr>
          <w:color w:val="444444"/>
          <w:lang w:val="en-US"/>
        </w:rPr>
        <w:t xml:space="preserve">This paper makes the following contributions: (1) design and sizing of a 350 Wp PV-diesel hybrid system adapted to tropical rural demand profiles; (2) development of a fuzzy-logic adaptive MPPT algorithm </w:t>
      </w:r>
      <w:proofErr w:type="spellStart"/>
      <w:r w:rsidRPr="0014526F">
        <w:rPr>
          <w:color w:val="444444"/>
          <w:lang w:val="en-US"/>
        </w:rPr>
        <w:t>optimised</w:t>
      </w:r>
      <w:proofErr w:type="spellEnd"/>
      <w:r w:rsidRPr="0014526F">
        <w:rPr>
          <w:color w:val="444444"/>
          <w:lang w:val="en-US"/>
        </w:rPr>
        <w:t xml:space="preserve"> for high-temperature operation; (3) annual simulation under realistic Cameroonian solar data; and (4) comparative techno-economic analysis against a fixed duty-cycle controller and a diesel-only baseline. The remainder of this paper is </w:t>
      </w:r>
      <w:proofErr w:type="spellStart"/>
      <w:r w:rsidRPr="0014526F">
        <w:rPr>
          <w:color w:val="444444"/>
          <w:lang w:val="en-US"/>
        </w:rPr>
        <w:t>organised</w:t>
      </w:r>
      <w:proofErr w:type="spellEnd"/>
      <w:r w:rsidRPr="0014526F">
        <w:rPr>
          <w:color w:val="444444"/>
          <w:lang w:val="en-US"/>
        </w:rPr>
        <w:t xml:space="preserve"> as follows: Section 3 reviews the relevant literature; Section 4 describes the system design and methodology; Sections 5 and 6 present and discuss results; Section 7 concludes.</w:t>
      </w:r>
    </w:p>
    <w:p w14:paraId="318A9ABF" w14:textId="77777777" w:rsidR="0069238D" w:rsidRPr="0014526F" w:rsidRDefault="0069238D">
      <w:pPr>
        <w:pBdr>
          <w:bottom w:val="single" w:sz="4" w:space="1" w:color="CCCCCC"/>
        </w:pBdr>
        <w:rPr>
          <w:lang w:val="en-US"/>
        </w:rPr>
      </w:pPr>
    </w:p>
    <w:p w14:paraId="2D5F5340" w14:textId="77777777" w:rsidR="0069238D" w:rsidRPr="0014526F" w:rsidRDefault="00000000">
      <w:pPr>
        <w:pStyle w:val="Titre1"/>
        <w:rPr>
          <w:lang w:val="en-US"/>
        </w:rPr>
      </w:pPr>
      <w:r w:rsidRPr="0014526F">
        <w:rPr>
          <w:lang w:val="en-US"/>
        </w:rPr>
        <w:t>3.  Literature Review / State of the Art</w:t>
      </w:r>
    </w:p>
    <w:p w14:paraId="3D098B20" w14:textId="77777777" w:rsidR="0069238D" w:rsidRPr="0014526F" w:rsidRDefault="0069238D">
      <w:pPr>
        <w:pBdr>
          <w:bottom w:val="single" w:sz="6" w:space="1" w:color="007B7F"/>
        </w:pBdr>
        <w:rPr>
          <w:lang w:val="en-US"/>
        </w:rPr>
      </w:pPr>
    </w:p>
    <w:p w14:paraId="322B3267" w14:textId="77777777" w:rsidR="0069238D" w:rsidRPr="0014526F" w:rsidRDefault="0069238D">
      <w:pPr>
        <w:spacing w:before="80" w:after="40"/>
        <w:rPr>
          <w:lang w:val="en-US"/>
        </w:rPr>
      </w:pPr>
    </w:p>
    <w:p w14:paraId="3E3962D9" w14:textId="77777777" w:rsidR="0069238D" w:rsidRPr="0014526F" w:rsidRDefault="00000000">
      <w:pPr>
        <w:pStyle w:val="Titre2"/>
        <w:rPr>
          <w:lang w:val="en-US"/>
        </w:rPr>
      </w:pPr>
      <w:proofErr w:type="gramStart"/>
      <w:r w:rsidRPr="0014526F">
        <w:rPr>
          <w:lang w:val="en-US"/>
        </w:rPr>
        <w:t>3.1  PV</w:t>
      </w:r>
      <w:proofErr w:type="gramEnd"/>
      <w:r w:rsidRPr="0014526F">
        <w:rPr>
          <w:lang w:val="en-US"/>
        </w:rPr>
        <w:t>-Diesel Hybrid Systems in Rural Electrification</w:t>
      </w:r>
    </w:p>
    <w:p w14:paraId="3A91F8F9" w14:textId="77777777" w:rsidR="0069238D" w:rsidRPr="0014526F" w:rsidRDefault="00000000">
      <w:pPr>
        <w:spacing w:before="80" w:after="80" w:line="276" w:lineRule="auto"/>
        <w:jc w:val="both"/>
        <w:rPr>
          <w:lang w:val="en-US"/>
        </w:rPr>
      </w:pPr>
      <w:r w:rsidRPr="0014526F">
        <w:rPr>
          <w:color w:val="444444"/>
          <w:lang w:val="en-US"/>
        </w:rPr>
        <w:t xml:space="preserve">A significant body of literature has investigated PV-diesel hybrid systems for off-grid applications. Nwosu et al. [3] demonstrated that a properly sized PV-battery-diesel hybrid system can reduce diesel consumption by 60–75% in West African rural contexts. Diallo et al. [8] </w:t>
      </w:r>
      <w:proofErr w:type="spellStart"/>
      <w:r w:rsidRPr="0014526F">
        <w:rPr>
          <w:color w:val="444444"/>
          <w:lang w:val="en-US"/>
        </w:rPr>
        <w:t>analysed</w:t>
      </w:r>
      <w:proofErr w:type="spellEnd"/>
      <w:r w:rsidRPr="0014526F">
        <w:rPr>
          <w:color w:val="444444"/>
          <w:lang w:val="en-US"/>
        </w:rPr>
        <w:t xml:space="preserve"> 14 hybrid micro-grids in the Sahel region and found LCOE values ranging from USD 0.19 to 0.31/kWh, largely depending on solar resource quality and battery sizing. Ngoma and Kasali [9] proposed a rule-based energy management system for a village in the Democratic Republic of Congo, achieving a diesel fuel saving of 58%.</w:t>
      </w:r>
    </w:p>
    <w:p w14:paraId="0D092FA4" w14:textId="77777777" w:rsidR="0069238D" w:rsidRPr="0014526F" w:rsidRDefault="0069238D">
      <w:pPr>
        <w:spacing w:before="60" w:after="40"/>
        <w:rPr>
          <w:lang w:val="en-US"/>
        </w:rPr>
      </w:pPr>
    </w:p>
    <w:p w14:paraId="34756F7C" w14:textId="77777777" w:rsidR="0069238D" w:rsidRPr="0014526F" w:rsidRDefault="00000000">
      <w:pPr>
        <w:spacing w:before="80" w:after="80" w:line="276" w:lineRule="auto"/>
        <w:jc w:val="both"/>
        <w:rPr>
          <w:lang w:val="en-US"/>
        </w:rPr>
      </w:pPr>
      <w:r w:rsidRPr="0014526F">
        <w:rPr>
          <w:color w:val="444444"/>
          <w:lang w:val="en-US"/>
        </w:rPr>
        <w:t>However, most of these studies rely on classical MPPT strategies that perform well under standard test conditions (STC: 25°C, 1000 W/m²) but degrade in the variable temperature and irradiance conditions characteristic of tropical climates [4].</w:t>
      </w:r>
    </w:p>
    <w:p w14:paraId="1842B7C6" w14:textId="77777777" w:rsidR="0069238D" w:rsidRPr="0014526F" w:rsidRDefault="0069238D">
      <w:pPr>
        <w:spacing w:before="80" w:after="40"/>
        <w:rPr>
          <w:lang w:val="en-US"/>
        </w:rPr>
      </w:pPr>
    </w:p>
    <w:p w14:paraId="5290E498" w14:textId="77777777" w:rsidR="0069238D" w:rsidRPr="0014526F" w:rsidRDefault="00000000">
      <w:pPr>
        <w:pStyle w:val="Titre2"/>
        <w:rPr>
          <w:lang w:val="en-US"/>
        </w:rPr>
      </w:pPr>
      <w:proofErr w:type="gramStart"/>
      <w:r w:rsidRPr="0014526F">
        <w:rPr>
          <w:lang w:val="en-US"/>
        </w:rPr>
        <w:t>3.2  Adaptive</w:t>
      </w:r>
      <w:proofErr w:type="gramEnd"/>
      <w:r w:rsidRPr="0014526F">
        <w:rPr>
          <w:lang w:val="en-US"/>
        </w:rPr>
        <w:t xml:space="preserve"> MPPT Algorithms</w:t>
      </w:r>
    </w:p>
    <w:p w14:paraId="1B9E87DE" w14:textId="77777777" w:rsidR="0069238D" w:rsidRPr="0014526F" w:rsidRDefault="00000000">
      <w:pPr>
        <w:spacing w:before="80" w:after="80" w:line="276" w:lineRule="auto"/>
        <w:jc w:val="both"/>
        <w:rPr>
          <w:lang w:val="en-US"/>
        </w:rPr>
      </w:pPr>
      <w:r w:rsidRPr="0014526F">
        <w:rPr>
          <w:color w:val="444444"/>
          <w:lang w:val="en-US"/>
        </w:rPr>
        <w:t xml:space="preserve">Several adaptive MPPT approaches have been proposed to address the limitations of P&amp;O and Incremental Conductance (INC) algorithms. Fuzzy Logic Controllers (FLC) have received considerable attention due to their ability to handle nonlinear system </w:t>
      </w:r>
      <w:proofErr w:type="spellStart"/>
      <w:r w:rsidRPr="0014526F">
        <w:rPr>
          <w:color w:val="444444"/>
          <w:lang w:val="en-US"/>
        </w:rPr>
        <w:t>behaviour</w:t>
      </w:r>
      <w:proofErr w:type="spellEnd"/>
      <w:r w:rsidRPr="0014526F">
        <w:rPr>
          <w:color w:val="444444"/>
          <w:lang w:val="en-US"/>
        </w:rPr>
        <w:t xml:space="preserve"> without requiring an accurate mathematical model [6]. Kamta and </w:t>
      </w:r>
      <w:proofErr w:type="spellStart"/>
      <w:r w:rsidRPr="0014526F">
        <w:rPr>
          <w:color w:val="444444"/>
          <w:lang w:val="en-US"/>
        </w:rPr>
        <w:t>Tchuidjan</w:t>
      </w:r>
      <w:proofErr w:type="spellEnd"/>
      <w:r w:rsidRPr="0014526F">
        <w:rPr>
          <w:color w:val="444444"/>
          <w:lang w:val="en-US"/>
        </w:rPr>
        <w:t xml:space="preserve"> [7] applied an FLC-based MPPT to a standalone PV system in Garoua, Cameroon, and reported a 4.2 percentage-point improvement in tracking efficiency over classical P&amp;O under cloudy conditions. Neural-network-based approaches have also been proposed [10], but their higher computational requirements limit deployment on low-cost embedded controllers.</w:t>
      </w:r>
    </w:p>
    <w:p w14:paraId="2BCF11A9" w14:textId="77777777" w:rsidR="0069238D" w:rsidRPr="0014526F" w:rsidRDefault="0069238D">
      <w:pPr>
        <w:spacing w:before="80" w:after="40"/>
        <w:rPr>
          <w:lang w:val="en-US"/>
        </w:rPr>
      </w:pPr>
    </w:p>
    <w:p w14:paraId="41E55B35" w14:textId="77777777" w:rsidR="0069238D" w:rsidRPr="0014526F" w:rsidRDefault="00000000">
      <w:pPr>
        <w:pStyle w:val="Titre2"/>
        <w:rPr>
          <w:lang w:val="en-US"/>
        </w:rPr>
      </w:pPr>
      <w:proofErr w:type="gramStart"/>
      <w:r w:rsidRPr="0014526F">
        <w:rPr>
          <w:lang w:val="en-US"/>
        </w:rPr>
        <w:t>3.3  Research</w:t>
      </w:r>
      <w:proofErr w:type="gramEnd"/>
      <w:r w:rsidRPr="0014526F">
        <w:rPr>
          <w:lang w:val="en-US"/>
        </w:rPr>
        <w:t xml:space="preserve"> Gap and Positioning</w:t>
      </w:r>
    </w:p>
    <w:p w14:paraId="16E8DFCA" w14:textId="77777777" w:rsidR="0069238D" w:rsidRPr="0014526F" w:rsidRDefault="00000000">
      <w:pPr>
        <w:spacing w:before="80" w:after="80" w:line="276" w:lineRule="auto"/>
        <w:jc w:val="both"/>
        <w:rPr>
          <w:lang w:val="en-US"/>
        </w:rPr>
      </w:pPr>
      <w:r w:rsidRPr="0014526F">
        <w:rPr>
          <w:color w:val="444444"/>
          <w:lang w:val="en-US"/>
        </w:rPr>
        <w:t>Despite these advances, the integration of adaptive MPPT into complete PV-diesel hybrid systems, with full annual simulation, battery degradation modelling, and comprehensive economic analysis using real tropical irradiance data, remains largely unaddressed. This study fills this gap by providing a complete end-to-end analysis of such a system dimensioned for a typical Cameroonian rural village.</w:t>
      </w:r>
    </w:p>
    <w:p w14:paraId="7EDE128F" w14:textId="77777777" w:rsidR="0069238D" w:rsidRPr="0014526F" w:rsidRDefault="0069238D">
      <w:pPr>
        <w:spacing w:before="160" w:after="60"/>
        <w:rPr>
          <w:lang w:val="en-US"/>
        </w:rPr>
      </w:pPr>
    </w:p>
    <w:p w14:paraId="287AF169" w14:textId="77777777" w:rsidR="0069238D" w:rsidRPr="0014526F" w:rsidRDefault="0069238D">
      <w:pPr>
        <w:pBdr>
          <w:bottom w:val="single" w:sz="4" w:space="1" w:color="CCCCCC"/>
        </w:pBdr>
        <w:rPr>
          <w:lang w:val="en-US"/>
        </w:rPr>
      </w:pPr>
    </w:p>
    <w:p w14:paraId="0F8C0D8F" w14:textId="77777777" w:rsidR="0069238D" w:rsidRDefault="00000000">
      <w:pPr>
        <w:pStyle w:val="Titre1"/>
      </w:pPr>
      <w:r>
        <w:t>4.  Materials and Methods</w:t>
      </w:r>
    </w:p>
    <w:p w14:paraId="0AF0D436" w14:textId="77777777" w:rsidR="0069238D" w:rsidRDefault="0069238D">
      <w:pPr>
        <w:pBdr>
          <w:bottom w:val="single" w:sz="6" w:space="1" w:color="007B7F"/>
        </w:pBdr>
      </w:pPr>
    </w:p>
    <w:p w14:paraId="5409C401" w14:textId="77777777" w:rsidR="0069238D" w:rsidRDefault="0069238D">
      <w:pPr>
        <w:spacing w:before="80" w:after="40"/>
      </w:pPr>
    </w:p>
    <w:p w14:paraId="15B13089" w14:textId="77777777" w:rsidR="0069238D" w:rsidRPr="0014526F" w:rsidRDefault="00000000">
      <w:pPr>
        <w:pStyle w:val="Titre2"/>
        <w:rPr>
          <w:lang w:val="en-US"/>
        </w:rPr>
      </w:pPr>
      <w:proofErr w:type="gramStart"/>
      <w:r w:rsidRPr="0014526F">
        <w:rPr>
          <w:lang w:val="en-US"/>
        </w:rPr>
        <w:t>4.1  Site</w:t>
      </w:r>
      <w:proofErr w:type="gramEnd"/>
      <w:r w:rsidRPr="0014526F">
        <w:rPr>
          <w:lang w:val="en-US"/>
        </w:rPr>
        <w:t xml:space="preserve"> Description and Solar Resource</w:t>
      </w:r>
    </w:p>
    <w:p w14:paraId="499FA6E6" w14:textId="77777777" w:rsidR="0069238D" w:rsidRPr="0014526F" w:rsidRDefault="00000000">
      <w:pPr>
        <w:spacing w:before="80" w:after="80" w:line="276" w:lineRule="auto"/>
        <w:jc w:val="both"/>
        <w:rPr>
          <w:lang w:val="en-US"/>
        </w:rPr>
      </w:pPr>
      <w:r w:rsidRPr="0014526F">
        <w:rPr>
          <w:color w:val="444444"/>
          <w:lang w:val="en-US"/>
        </w:rPr>
        <w:t xml:space="preserve">The study site is the rural village of </w:t>
      </w:r>
      <w:proofErr w:type="spellStart"/>
      <w:r w:rsidRPr="0014526F">
        <w:rPr>
          <w:color w:val="444444"/>
          <w:lang w:val="en-US"/>
        </w:rPr>
        <w:t>Abiete</w:t>
      </w:r>
      <w:proofErr w:type="spellEnd"/>
      <w:r w:rsidRPr="0014526F">
        <w:rPr>
          <w:color w:val="444444"/>
          <w:lang w:val="en-US"/>
        </w:rPr>
        <w:t>-Ze, located in the South Region of Cameroon (3.12°N, 11.58°E, altitude 640 m). The community consists of approximately 150 households with a total connected load of 18 kWh/day, based on a survey conducted in March 2025. The daily load profile peaks between 18:00 and 22:00 (evening cooking and lighting). Solar irradiance data were obtained from the NASA POWER database for the period 2018–2023 and validated against ground measurements at the Yaoundé meteorological station.</w:t>
      </w:r>
    </w:p>
    <w:p w14:paraId="0CD2A910" w14:textId="77777777" w:rsidR="0069238D" w:rsidRPr="0014526F" w:rsidRDefault="0069238D">
      <w:pPr>
        <w:spacing w:before="60" w:after="40"/>
        <w:rPr>
          <w:lang w:val="en-US"/>
        </w:rPr>
      </w:pPr>
    </w:p>
    <w:p w14:paraId="08AC86AF" w14:textId="77777777" w:rsidR="0069238D" w:rsidRPr="0014526F" w:rsidRDefault="00000000">
      <w:pPr>
        <w:spacing w:before="80" w:after="80" w:line="276" w:lineRule="auto"/>
        <w:jc w:val="both"/>
        <w:rPr>
          <w:lang w:val="en-US"/>
        </w:rPr>
      </w:pPr>
      <w:r w:rsidRPr="0014526F">
        <w:rPr>
          <w:color w:val="444444"/>
          <w:lang w:val="en-US"/>
        </w:rPr>
        <w:t>Figure 2 presents the monthly average daily solar irradiance at the study site. The annual average is 4.73 kWh/m²/day, with a maximum of 5.8 kWh/m²/day in April and a minimum of 3.1 kWh/m²/day in January during the short dry season. A design threshold of 4.5 kWh/m²/day is adopted for conservative system sizing.</w:t>
      </w:r>
    </w:p>
    <w:p w14:paraId="5DB7A012" w14:textId="77777777" w:rsidR="0069238D" w:rsidRPr="0014526F" w:rsidRDefault="0069238D">
      <w:pPr>
        <w:spacing w:before="60" w:after="40"/>
        <w:rPr>
          <w:lang w:val="en-US"/>
        </w:rPr>
      </w:pPr>
    </w:p>
    <w:p w14:paraId="6884AABA" w14:textId="77777777" w:rsidR="0069238D" w:rsidRDefault="00000000">
      <w:pPr>
        <w:spacing w:before="80" w:after="40"/>
        <w:jc w:val="center"/>
      </w:pPr>
      <w:r>
        <w:rPr>
          <w:noProof/>
        </w:rPr>
        <w:drawing>
          <wp:inline distT="0" distB="0" distL="0" distR="0" wp14:anchorId="04EAFDB6" wp14:editId="4613E630">
            <wp:extent cx="5524500" cy="2209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524500" cy="2209800"/>
                    </a:xfrm>
                    <a:prstGeom prst="rect">
                      <a:avLst/>
                    </a:prstGeom>
                  </pic:spPr>
                </pic:pic>
              </a:graphicData>
            </a:graphic>
          </wp:inline>
        </w:drawing>
      </w:r>
    </w:p>
    <w:p w14:paraId="449699C1" w14:textId="77777777" w:rsidR="0069238D" w:rsidRPr="0014526F" w:rsidRDefault="00000000">
      <w:pPr>
        <w:spacing w:before="60" w:after="120"/>
        <w:jc w:val="center"/>
        <w:rPr>
          <w:lang w:val="en-US"/>
        </w:rPr>
      </w:pPr>
      <w:r w:rsidRPr="0014526F">
        <w:rPr>
          <w:rFonts w:ascii="Calibri" w:eastAsia="Calibri" w:hAnsi="Calibri" w:cs="Calibri"/>
          <w:color w:val="444444"/>
          <w:sz w:val="20"/>
          <w:szCs w:val="20"/>
          <w:lang w:val="en-US"/>
        </w:rPr>
        <w:t xml:space="preserve">Figure 2 — Monthly average daily solar irradiance at </w:t>
      </w:r>
      <w:proofErr w:type="spellStart"/>
      <w:r w:rsidRPr="0014526F">
        <w:rPr>
          <w:rFonts w:ascii="Calibri" w:eastAsia="Calibri" w:hAnsi="Calibri" w:cs="Calibri"/>
          <w:color w:val="444444"/>
          <w:sz w:val="20"/>
          <w:szCs w:val="20"/>
          <w:lang w:val="en-US"/>
        </w:rPr>
        <w:t>Abiete</w:t>
      </w:r>
      <w:proofErr w:type="spellEnd"/>
      <w:r w:rsidRPr="0014526F">
        <w:rPr>
          <w:rFonts w:ascii="Calibri" w:eastAsia="Calibri" w:hAnsi="Calibri" w:cs="Calibri"/>
          <w:color w:val="444444"/>
          <w:sz w:val="20"/>
          <w:szCs w:val="20"/>
          <w:lang w:val="en-US"/>
        </w:rPr>
        <w:t>-Ze site (kWh/m²/day). Error bars represent interannual standard deviation (2018–2023). The dashed red line indicates the design threshold.</w:t>
      </w:r>
    </w:p>
    <w:p w14:paraId="60956870" w14:textId="77777777" w:rsidR="0069238D" w:rsidRPr="0014526F" w:rsidRDefault="0069238D">
      <w:pPr>
        <w:spacing w:before="80" w:after="40"/>
        <w:rPr>
          <w:lang w:val="en-US"/>
        </w:rPr>
      </w:pPr>
    </w:p>
    <w:p w14:paraId="5ED47D08" w14:textId="77777777" w:rsidR="0069238D" w:rsidRPr="0014526F" w:rsidRDefault="00000000">
      <w:pPr>
        <w:pStyle w:val="Titre2"/>
        <w:rPr>
          <w:lang w:val="en-US"/>
        </w:rPr>
      </w:pPr>
      <w:proofErr w:type="gramStart"/>
      <w:r w:rsidRPr="0014526F">
        <w:rPr>
          <w:lang w:val="en-US"/>
        </w:rPr>
        <w:t>4.2  System</w:t>
      </w:r>
      <w:proofErr w:type="gramEnd"/>
      <w:r w:rsidRPr="0014526F">
        <w:rPr>
          <w:lang w:val="en-US"/>
        </w:rPr>
        <w:t xml:space="preserve"> Architecture</w:t>
      </w:r>
    </w:p>
    <w:p w14:paraId="18CD8EC6" w14:textId="77777777" w:rsidR="0069238D" w:rsidRPr="0014526F" w:rsidRDefault="00000000">
      <w:pPr>
        <w:spacing w:before="80" w:after="80" w:line="276" w:lineRule="auto"/>
        <w:jc w:val="both"/>
        <w:rPr>
          <w:lang w:val="en-US"/>
        </w:rPr>
      </w:pPr>
      <w:r w:rsidRPr="0014526F">
        <w:rPr>
          <w:color w:val="444444"/>
          <w:lang w:val="en-US"/>
        </w:rPr>
        <w:t>The proposed hybrid system architecture is illustrated in Figure 1. It consists of four main subsystems: a PV array connected to a battery bank via an adaptive MPPT charge controller, a diesel generator for backup power, a bidirectional hybrid inverter supplying the AC load bus, and a supervisory data acquisition unit. Communication between components is ensured via an RS-485 Modbus link.</w:t>
      </w:r>
    </w:p>
    <w:p w14:paraId="20EB06DE" w14:textId="77777777" w:rsidR="0069238D" w:rsidRPr="0014526F" w:rsidRDefault="0069238D">
      <w:pPr>
        <w:spacing w:before="60" w:after="40"/>
        <w:rPr>
          <w:lang w:val="en-US"/>
        </w:rPr>
      </w:pPr>
    </w:p>
    <w:p w14:paraId="73732A51" w14:textId="77777777" w:rsidR="0069238D" w:rsidRDefault="00000000">
      <w:pPr>
        <w:spacing w:before="80" w:after="40"/>
        <w:jc w:val="center"/>
      </w:pPr>
      <w:r>
        <w:rPr>
          <w:noProof/>
        </w:rPr>
        <w:drawing>
          <wp:inline distT="0" distB="0" distL="0" distR="0" wp14:anchorId="0472ACB0" wp14:editId="3E5788F8">
            <wp:extent cx="5524500" cy="2486025"/>
            <wp:effectExtent l="0" t="0" r="0" b="0"/>
            <wp:docPr id="942956104" name="Image 94295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524500" cy="2486025"/>
                    </a:xfrm>
                    <a:prstGeom prst="rect">
                      <a:avLst/>
                    </a:prstGeom>
                  </pic:spPr>
                </pic:pic>
              </a:graphicData>
            </a:graphic>
          </wp:inline>
        </w:drawing>
      </w:r>
    </w:p>
    <w:p w14:paraId="242B640E" w14:textId="77777777" w:rsidR="0069238D" w:rsidRPr="0014526F" w:rsidRDefault="00000000">
      <w:pPr>
        <w:spacing w:before="60" w:after="120"/>
        <w:jc w:val="center"/>
        <w:rPr>
          <w:lang w:val="en-US"/>
        </w:rPr>
      </w:pPr>
      <w:r w:rsidRPr="0014526F">
        <w:rPr>
          <w:rFonts w:ascii="Calibri" w:eastAsia="Calibri" w:hAnsi="Calibri" w:cs="Calibri"/>
          <w:color w:val="444444"/>
          <w:sz w:val="20"/>
          <w:szCs w:val="20"/>
          <w:lang w:val="en-US"/>
        </w:rPr>
        <w:t>Figure 1 — Block diagram of the proposed PV-diesel hybrid system. Solid arrows indicate power flows; dashed arrows indicate communication/control signals.</w:t>
      </w:r>
    </w:p>
    <w:p w14:paraId="2FAA4607" w14:textId="77777777" w:rsidR="0069238D" w:rsidRPr="0014526F" w:rsidRDefault="0069238D">
      <w:pPr>
        <w:spacing w:before="80" w:after="40"/>
        <w:rPr>
          <w:lang w:val="en-US"/>
        </w:rPr>
      </w:pPr>
    </w:p>
    <w:p w14:paraId="324D4553" w14:textId="77777777" w:rsidR="0069238D" w:rsidRDefault="00000000">
      <w:pPr>
        <w:spacing w:before="80" w:after="80" w:line="276" w:lineRule="auto"/>
        <w:jc w:val="both"/>
        <w:rPr>
          <w:color w:val="444444"/>
          <w:lang w:val="en-US"/>
        </w:rPr>
      </w:pPr>
      <w:r w:rsidRPr="0014526F">
        <w:rPr>
          <w:color w:val="444444"/>
          <w:lang w:val="en-US"/>
        </w:rPr>
        <w:t xml:space="preserve">Table 1 </w:t>
      </w:r>
      <w:proofErr w:type="spellStart"/>
      <w:r w:rsidRPr="0014526F">
        <w:rPr>
          <w:color w:val="444444"/>
          <w:lang w:val="en-US"/>
        </w:rPr>
        <w:t>summarises</w:t>
      </w:r>
      <w:proofErr w:type="spellEnd"/>
      <w:r w:rsidRPr="0014526F">
        <w:rPr>
          <w:color w:val="444444"/>
          <w:lang w:val="en-US"/>
        </w:rPr>
        <w:t xml:space="preserve"> the technical specifications of each component, sized using the Homer Pro v3.14 software in a first pass, then refined through MATLAB/Simulink simulation.</w:t>
      </w:r>
    </w:p>
    <w:p w14:paraId="3CF343B3" w14:textId="77777777" w:rsidR="0014526F" w:rsidRDefault="0014526F">
      <w:pPr>
        <w:spacing w:before="80" w:after="80" w:line="276" w:lineRule="auto"/>
        <w:jc w:val="both"/>
        <w:rPr>
          <w:color w:val="444444"/>
          <w:lang w:val="en-US"/>
        </w:rPr>
      </w:pPr>
    </w:p>
    <w:p w14:paraId="4D79431A" w14:textId="77777777" w:rsidR="0014526F" w:rsidRPr="0014526F" w:rsidRDefault="0014526F">
      <w:pPr>
        <w:spacing w:before="80" w:after="80" w:line="276" w:lineRule="auto"/>
        <w:jc w:val="both"/>
        <w:rPr>
          <w:lang w:val="en-US"/>
        </w:rPr>
      </w:pPr>
    </w:p>
    <w:p w14:paraId="59693F44" w14:textId="77777777" w:rsidR="0069238D" w:rsidRPr="0014526F" w:rsidRDefault="0069238D">
      <w:pPr>
        <w:spacing w:before="60" w:after="40"/>
        <w:rPr>
          <w:lang w:val="en-US"/>
        </w:rPr>
      </w:pPr>
    </w:p>
    <w:p w14:paraId="35AD03CC" w14:textId="77777777" w:rsidR="0069238D" w:rsidRPr="0014526F" w:rsidRDefault="00000000">
      <w:pPr>
        <w:spacing w:before="60" w:after="120"/>
        <w:jc w:val="center"/>
        <w:rPr>
          <w:lang w:val="en-US"/>
        </w:rPr>
      </w:pPr>
      <w:r w:rsidRPr="0014526F">
        <w:rPr>
          <w:rFonts w:ascii="Calibri" w:eastAsia="Calibri" w:hAnsi="Calibri" w:cs="Calibri"/>
          <w:color w:val="444444"/>
          <w:sz w:val="20"/>
          <w:szCs w:val="20"/>
          <w:lang w:val="en-US"/>
        </w:rPr>
        <w:t>Table 1 — Technical specifications of the proposed hybrid system components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2256"/>
        <w:gridCol w:w="2257"/>
        <w:gridCol w:w="2257"/>
      </w:tblGrid>
      <w:tr w:rsidR="0069238D" w14:paraId="4B0391E7" w14:textId="77777777">
        <w:tblPrEx>
          <w:tblCellMar>
            <w:top w:w="0" w:type="dxa"/>
            <w:bottom w:w="0" w:type="dxa"/>
          </w:tblCellMar>
        </w:tblPrEx>
        <w:tc>
          <w:tcPr>
            <w:tcW w:w="2256" w:type="dxa"/>
            <w:tcBorders>
              <w:top w:val="single" w:sz="2" w:space="0" w:color="003366"/>
              <w:left w:val="single" w:sz="2" w:space="0" w:color="003366"/>
              <w:bottom w:val="single" w:sz="2" w:space="0" w:color="003366"/>
              <w:right w:val="single" w:sz="2" w:space="0" w:color="003366"/>
            </w:tcBorders>
            <w:shd w:val="clear" w:color="auto" w:fill="003366"/>
            <w:tcMar>
              <w:top w:w="80" w:type="dxa"/>
              <w:left w:w="120" w:type="dxa"/>
              <w:bottom w:w="80" w:type="dxa"/>
              <w:right w:w="80" w:type="dxa"/>
            </w:tcMar>
          </w:tcPr>
          <w:p w14:paraId="497778C2" w14:textId="77777777" w:rsidR="0069238D" w:rsidRDefault="00000000">
            <w:pPr>
              <w:jc w:val="center"/>
            </w:pPr>
            <w:r>
              <w:rPr>
                <w:rFonts w:ascii="Calibri" w:eastAsia="Calibri" w:hAnsi="Calibri" w:cs="Calibri"/>
                <w:b/>
                <w:bCs/>
                <w:color w:val="FFFFFF"/>
                <w:sz w:val="18"/>
                <w:szCs w:val="18"/>
              </w:rPr>
              <w:t>Component</w:t>
            </w:r>
          </w:p>
        </w:tc>
        <w:tc>
          <w:tcPr>
            <w:tcW w:w="2256" w:type="dxa"/>
            <w:tcBorders>
              <w:top w:val="single" w:sz="2" w:space="0" w:color="003366"/>
              <w:left w:val="single" w:sz="2" w:space="0" w:color="003366"/>
              <w:bottom w:val="single" w:sz="2" w:space="0" w:color="003366"/>
              <w:right w:val="single" w:sz="2" w:space="0" w:color="003366"/>
            </w:tcBorders>
            <w:shd w:val="clear" w:color="auto" w:fill="003366"/>
            <w:tcMar>
              <w:top w:w="80" w:type="dxa"/>
              <w:left w:w="120" w:type="dxa"/>
              <w:bottom w:w="80" w:type="dxa"/>
              <w:right w:w="80" w:type="dxa"/>
            </w:tcMar>
          </w:tcPr>
          <w:p w14:paraId="0760878B" w14:textId="77777777" w:rsidR="0069238D" w:rsidRDefault="00000000">
            <w:pPr>
              <w:jc w:val="center"/>
            </w:pPr>
            <w:proofErr w:type="spellStart"/>
            <w:r>
              <w:rPr>
                <w:rFonts w:ascii="Calibri" w:eastAsia="Calibri" w:hAnsi="Calibri" w:cs="Calibri"/>
                <w:b/>
                <w:bCs/>
                <w:color w:val="FFFFFF"/>
                <w:sz w:val="18"/>
                <w:szCs w:val="18"/>
              </w:rPr>
              <w:t>Specification</w:t>
            </w:r>
            <w:proofErr w:type="spellEnd"/>
          </w:p>
        </w:tc>
        <w:tc>
          <w:tcPr>
            <w:tcW w:w="2257" w:type="dxa"/>
            <w:tcBorders>
              <w:top w:val="single" w:sz="2" w:space="0" w:color="003366"/>
              <w:left w:val="single" w:sz="2" w:space="0" w:color="003366"/>
              <w:bottom w:val="single" w:sz="2" w:space="0" w:color="003366"/>
              <w:right w:val="single" w:sz="2" w:space="0" w:color="003366"/>
            </w:tcBorders>
            <w:shd w:val="clear" w:color="auto" w:fill="003366"/>
            <w:tcMar>
              <w:top w:w="80" w:type="dxa"/>
              <w:left w:w="120" w:type="dxa"/>
              <w:bottom w:w="80" w:type="dxa"/>
              <w:right w:w="80" w:type="dxa"/>
            </w:tcMar>
          </w:tcPr>
          <w:p w14:paraId="1D3C838A" w14:textId="77777777" w:rsidR="0069238D" w:rsidRDefault="00000000">
            <w:pPr>
              <w:jc w:val="center"/>
            </w:pPr>
            <w:r>
              <w:rPr>
                <w:rFonts w:ascii="Calibri" w:eastAsia="Calibri" w:hAnsi="Calibri" w:cs="Calibri"/>
                <w:b/>
                <w:bCs/>
                <w:color w:val="FFFFFF"/>
                <w:sz w:val="18"/>
                <w:szCs w:val="18"/>
              </w:rPr>
              <w:t>Value / Rating</w:t>
            </w:r>
          </w:p>
        </w:tc>
        <w:tc>
          <w:tcPr>
            <w:tcW w:w="2257" w:type="dxa"/>
            <w:tcBorders>
              <w:top w:val="single" w:sz="2" w:space="0" w:color="003366"/>
              <w:left w:val="single" w:sz="2" w:space="0" w:color="003366"/>
              <w:bottom w:val="single" w:sz="2" w:space="0" w:color="003366"/>
              <w:right w:val="single" w:sz="2" w:space="0" w:color="003366"/>
            </w:tcBorders>
            <w:shd w:val="clear" w:color="auto" w:fill="003366"/>
            <w:tcMar>
              <w:top w:w="80" w:type="dxa"/>
              <w:left w:w="120" w:type="dxa"/>
              <w:bottom w:w="80" w:type="dxa"/>
              <w:right w:w="80" w:type="dxa"/>
            </w:tcMar>
          </w:tcPr>
          <w:p w14:paraId="358F06C5" w14:textId="77777777" w:rsidR="0069238D" w:rsidRDefault="00000000">
            <w:pPr>
              <w:jc w:val="center"/>
            </w:pPr>
            <w:r>
              <w:rPr>
                <w:rFonts w:ascii="Calibri" w:eastAsia="Calibri" w:hAnsi="Calibri" w:cs="Calibri"/>
                <w:b/>
                <w:bCs/>
                <w:color w:val="FFFFFF"/>
                <w:sz w:val="18"/>
                <w:szCs w:val="18"/>
              </w:rPr>
              <w:t>Unit</w:t>
            </w:r>
          </w:p>
        </w:tc>
      </w:tr>
      <w:tr w:rsidR="0069238D" w14:paraId="6825ECAC" w14:textId="77777777">
        <w:tblPrEx>
          <w:tblCellMar>
            <w:top w:w="0" w:type="dxa"/>
            <w:bottom w:w="0" w:type="dxa"/>
          </w:tblCellMar>
        </w:tblPrEx>
        <w:tc>
          <w:tcPr>
            <w:tcW w:w="22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630118B1" w14:textId="77777777" w:rsidR="0069238D" w:rsidRDefault="00000000">
            <w:r>
              <w:rPr>
                <w:rFonts w:ascii="Calibri" w:eastAsia="Calibri" w:hAnsi="Calibri" w:cs="Calibri"/>
                <w:b/>
                <w:bCs/>
                <w:color w:val="003366"/>
                <w:sz w:val="18"/>
                <w:szCs w:val="18"/>
              </w:rPr>
              <w:t xml:space="preserve">PV </w:t>
            </w:r>
            <w:proofErr w:type="spellStart"/>
            <w:r>
              <w:rPr>
                <w:rFonts w:ascii="Calibri" w:eastAsia="Calibri" w:hAnsi="Calibri" w:cs="Calibri"/>
                <w:b/>
                <w:bCs/>
                <w:color w:val="003366"/>
                <w:sz w:val="18"/>
                <w:szCs w:val="18"/>
              </w:rPr>
              <w:t>Array</w:t>
            </w:r>
            <w:proofErr w:type="spellEnd"/>
          </w:p>
        </w:tc>
        <w:tc>
          <w:tcPr>
            <w:tcW w:w="22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3C1D2CF8" w14:textId="77777777" w:rsidR="0069238D" w:rsidRDefault="00000000">
            <w:r>
              <w:rPr>
                <w:rFonts w:ascii="Calibri" w:eastAsia="Calibri" w:hAnsi="Calibri" w:cs="Calibri"/>
                <w:color w:val="444444"/>
                <w:sz w:val="18"/>
                <w:szCs w:val="18"/>
              </w:rPr>
              <w:t>Peak power (</w:t>
            </w:r>
            <w:proofErr w:type="spellStart"/>
            <w:r>
              <w:rPr>
                <w:rFonts w:ascii="Calibri" w:eastAsia="Calibri" w:hAnsi="Calibri" w:cs="Calibri"/>
                <w:color w:val="444444"/>
                <w:sz w:val="18"/>
                <w:szCs w:val="18"/>
              </w:rPr>
              <w:t>Wp</w:t>
            </w:r>
            <w:proofErr w:type="spellEnd"/>
            <w:r>
              <w:rPr>
                <w:rFonts w:ascii="Calibri" w:eastAsia="Calibri" w:hAnsi="Calibri" w:cs="Calibri"/>
                <w:color w:val="444444"/>
                <w:sz w:val="18"/>
                <w:szCs w:val="18"/>
              </w:rPr>
              <w:t>)</w:t>
            </w:r>
          </w:p>
        </w:tc>
        <w:tc>
          <w:tcPr>
            <w:tcW w:w="225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46530ACC" w14:textId="77777777" w:rsidR="0069238D" w:rsidRDefault="00000000">
            <w:r>
              <w:rPr>
                <w:rFonts w:ascii="Calibri" w:eastAsia="Calibri" w:hAnsi="Calibri" w:cs="Calibri"/>
                <w:color w:val="444444"/>
                <w:sz w:val="18"/>
                <w:szCs w:val="18"/>
              </w:rPr>
              <w:t>350</w:t>
            </w:r>
          </w:p>
        </w:tc>
        <w:tc>
          <w:tcPr>
            <w:tcW w:w="225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7AD212BE" w14:textId="77777777" w:rsidR="0069238D" w:rsidRDefault="00000000">
            <w:pPr>
              <w:jc w:val="center"/>
            </w:pPr>
            <w:proofErr w:type="spellStart"/>
            <w:r>
              <w:rPr>
                <w:rFonts w:ascii="Calibri" w:eastAsia="Calibri" w:hAnsi="Calibri" w:cs="Calibri"/>
                <w:color w:val="444444"/>
                <w:sz w:val="18"/>
                <w:szCs w:val="18"/>
              </w:rPr>
              <w:t>Wp</w:t>
            </w:r>
            <w:proofErr w:type="spellEnd"/>
          </w:p>
        </w:tc>
      </w:tr>
      <w:tr w:rsidR="0069238D" w14:paraId="0B5C8D9A" w14:textId="77777777">
        <w:tblPrEx>
          <w:tblCellMar>
            <w:top w:w="0" w:type="dxa"/>
            <w:bottom w:w="0" w:type="dxa"/>
          </w:tblCellMar>
        </w:tblPrEx>
        <w:tc>
          <w:tcPr>
            <w:tcW w:w="22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11F560D2" w14:textId="77777777" w:rsidR="0069238D" w:rsidRDefault="00000000">
            <w:r>
              <w:rPr>
                <w:rFonts w:ascii="Calibri" w:eastAsia="Calibri" w:hAnsi="Calibri" w:cs="Calibri"/>
                <w:b/>
                <w:bCs/>
                <w:color w:val="003366"/>
                <w:sz w:val="18"/>
                <w:szCs w:val="18"/>
              </w:rPr>
              <w:t xml:space="preserve">PV </w:t>
            </w:r>
            <w:proofErr w:type="spellStart"/>
            <w:r>
              <w:rPr>
                <w:rFonts w:ascii="Calibri" w:eastAsia="Calibri" w:hAnsi="Calibri" w:cs="Calibri"/>
                <w:b/>
                <w:bCs/>
                <w:color w:val="003366"/>
                <w:sz w:val="18"/>
                <w:szCs w:val="18"/>
              </w:rPr>
              <w:t>Array</w:t>
            </w:r>
            <w:proofErr w:type="spellEnd"/>
          </w:p>
        </w:tc>
        <w:tc>
          <w:tcPr>
            <w:tcW w:w="22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0D902611" w14:textId="77777777" w:rsidR="0069238D" w:rsidRDefault="00000000">
            <w:r>
              <w:rPr>
                <w:rFonts w:ascii="Calibri" w:eastAsia="Calibri" w:hAnsi="Calibri" w:cs="Calibri"/>
                <w:color w:val="444444"/>
                <w:sz w:val="18"/>
                <w:szCs w:val="18"/>
              </w:rPr>
              <w:t>Open-circuit voltage</w:t>
            </w:r>
          </w:p>
        </w:tc>
        <w:tc>
          <w:tcPr>
            <w:tcW w:w="22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6E11227B" w14:textId="77777777" w:rsidR="0069238D" w:rsidRDefault="00000000">
            <w:r>
              <w:rPr>
                <w:rFonts w:ascii="Calibri" w:eastAsia="Calibri" w:hAnsi="Calibri" w:cs="Calibri"/>
                <w:color w:val="444444"/>
                <w:sz w:val="18"/>
                <w:szCs w:val="18"/>
              </w:rPr>
              <w:t>45.2</w:t>
            </w:r>
          </w:p>
        </w:tc>
        <w:tc>
          <w:tcPr>
            <w:tcW w:w="22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2264AD64" w14:textId="77777777" w:rsidR="0069238D" w:rsidRDefault="00000000">
            <w:pPr>
              <w:jc w:val="center"/>
            </w:pPr>
            <w:r>
              <w:rPr>
                <w:rFonts w:ascii="Calibri" w:eastAsia="Calibri" w:hAnsi="Calibri" w:cs="Calibri"/>
                <w:color w:val="444444"/>
                <w:sz w:val="18"/>
                <w:szCs w:val="18"/>
              </w:rPr>
              <w:t>V</w:t>
            </w:r>
          </w:p>
        </w:tc>
      </w:tr>
      <w:tr w:rsidR="0069238D" w14:paraId="2859079F" w14:textId="77777777">
        <w:tblPrEx>
          <w:tblCellMar>
            <w:top w:w="0" w:type="dxa"/>
            <w:bottom w:w="0" w:type="dxa"/>
          </w:tblCellMar>
        </w:tblPrEx>
        <w:tc>
          <w:tcPr>
            <w:tcW w:w="22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78B1103A" w14:textId="77777777" w:rsidR="0069238D" w:rsidRDefault="00000000">
            <w:r>
              <w:rPr>
                <w:rFonts w:ascii="Calibri" w:eastAsia="Calibri" w:hAnsi="Calibri" w:cs="Calibri"/>
                <w:b/>
                <w:bCs/>
                <w:color w:val="003366"/>
                <w:sz w:val="18"/>
                <w:szCs w:val="18"/>
              </w:rPr>
              <w:t xml:space="preserve">PV </w:t>
            </w:r>
            <w:proofErr w:type="spellStart"/>
            <w:r>
              <w:rPr>
                <w:rFonts w:ascii="Calibri" w:eastAsia="Calibri" w:hAnsi="Calibri" w:cs="Calibri"/>
                <w:b/>
                <w:bCs/>
                <w:color w:val="003366"/>
                <w:sz w:val="18"/>
                <w:szCs w:val="18"/>
              </w:rPr>
              <w:t>Array</w:t>
            </w:r>
            <w:proofErr w:type="spellEnd"/>
          </w:p>
        </w:tc>
        <w:tc>
          <w:tcPr>
            <w:tcW w:w="22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3BC8859E" w14:textId="77777777" w:rsidR="0069238D" w:rsidRDefault="00000000">
            <w:r>
              <w:rPr>
                <w:rFonts w:ascii="Calibri" w:eastAsia="Calibri" w:hAnsi="Calibri" w:cs="Calibri"/>
                <w:color w:val="444444"/>
                <w:sz w:val="18"/>
                <w:szCs w:val="18"/>
              </w:rPr>
              <w:t xml:space="preserve">Short-circuit </w:t>
            </w:r>
            <w:proofErr w:type="spellStart"/>
            <w:r>
              <w:rPr>
                <w:rFonts w:ascii="Calibri" w:eastAsia="Calibri" w:hAnsi="Calibri" w:cs="Calibri"/>
                <w:color w:val="444444"/>
                <w:sz w:val="18"/>
                <w:szCs w:val="18"/>
              </w:rPr>
              <w:t>current</w:t>
            </w:r>
            <w:proofErr w:type="spellEnd"/>
          </w:p>
        </w:tc>
        <w:tc>
          <w:tcPr>
            <w:tcW w:w="225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16BAE4AE" w14:textId="77777777" w:rsidR="0069238D" w:rsidRDefault="00000000">
            <w:r>
              <w:rPr>
                <w:rFonts w:ascii="Calibri" w:eastAsia="Calibri" w:hAnsi="Calibri" w:cs="Calibri"/>
                <w:color w:val="444444"/>
                <w:sz w:val="18"/>
                <w:szCs w:val="18"/>
              </w:rPr>
              <w:t>9.8</w:t>
            </w:r>
          </w:p>
        </w:tc>
        <w:tc>
          <w:tcPr>
            <w:tcW w:w="225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1AE3985E" w14:textId="77777777" w:rsidR="0069238D" w:rsidRDefault="00000000">
            <w:pPr>
              <w:jc w:val="center"/>
            </w:pPr>
            <w:r>
              <w:rPr>
                <w:rFonts w:ascii="Calibri" w:eastAsia="Calibri" w:hAnsi="Calibri" w:cs="Calibri"/>
                <w:color w:val="444444"/>
                <w:sz w:val="18"/>
                <w:szCs w:val="18"/>
              </w:rPr>
              <w:t>A</w:t>
            </w:r>
          </w:p>
        </w:tc>
      </w:tr>
      <w:tr w:rsidR="0069238D" w14:paraId="5DEF4889" w14:textId="77777777">
        <w:tblPrEx>
          <w:tblCellMar>
            <w:top w:w="0" w:type="dxa"/>
            <w:bottom w:w="0" w:type="dxa"/>
          </w:tblCellMar>
        </w:tblPrEx>
        <w:tc>
          <w:tcPr>
            <w:tcW w:w="22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7A861E73" w14:textId="77777777" w:rsidR="0069238D" w:rsidRDefault="00000000">
            <w:r>
              <w:rPr>
                <w:rFonts w:ascii="Calibri" w:eastAsia="Calibri" w:hAnsi="Calibri" w:cs="Calibri"/>
                <w:b/>
                <w:bCs/>
                <w:color w:val="003366"/>
                <w:sz w:val="18"/>
                <w:szCs w:val="18"/>
              </w:rPr>
              <w:t>Battery Bank</w:t>
            </w:r>
          </w:p>
        </w:tc>
        <w:tc>
          <w:tcPr>
            <w:tcW w:w="22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064B0AC1" w14:textId="77777777" w:rsidR="0069238D" w:rsidRDefault="00000000">
            <w:r>
              <w:rPr>
                <w:rFonts w:ascii="Calibri" w:eastAsia="Calibri" w:hAnsi="Calibri" w:cs="Calibri"/>
                <w:color w:val="444444"/>
                <w:sz w:val="18"/>
                <w:szCs w:val="18"/>
              </w:rPr>
              <w:t>Nominal voltage</w:t>
            </w:r>
          </w:p>
        </w:tc>
        <w:tc>
          <w:tcPr>
            <w:tcW w:w="22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07E85406" w14:textId="77777777" w:rsidR="0069238D" w:rsidRDefault="00000000">
            <w:r>
              <w:rPr>
                <w:rFonts w:ascii="Calibri" w:eastAsia="Calibri" w:hAnsi="Calibri" w:cs="Calibri"/>
                <w:color w:val="444444"/>
                <w:sz w:val="18"/>
                <w:szCs w:val="18"/>
              </w:rPr>
              <w:t>24</w:t>
            </w:r>
          </w:p>
        </w:tc>
        <w:tc>
          <w:tcPr>
            <w:tcW w:w="22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76EC2FB6" w14:textId="77777777" w:rsidR="0069238D" w:rsidRDefault="00000000">
            <w:pPr>
              <w:jc w:val="center"/>
            </w:pPr>
            <w:r>
              <w:rPr>
                <w:rFonts w:ascii="Calibri" w:eastAsia="Calibri" w:hAnsi="Calibri" w:cs="Calibri"/>
                <w:color w:val="444444"/>
                <w:sz w:val="18"/>
                <w:szCs w:val="18"/>
              </w:rPr>
              <w:t>V</w:t>
            </w:r>
          </w:p>
        </w:tc>
      </w:tr>
      <w:tr w:rsidR="0069238D" w14:paraId="4E6C2A3F" w14:textId="77777777">
        <w:tblPrEx>
          <w:tblCellMar>
            <w:top w:w="0" w:type="dxa"/>
            <w:bottom w:w="0" w:type="dxa"/>
          </w:tblCellMar>
        </w:tblPrEx>
        <w:tc>
          <w:tcPr>
            <w:tcW w:w="22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3FBE8D81" w14:textId="77777777" w:rsidR="0069238D" w:rsidRDefault="00000000">
            <w:r>
              <w:rPr>
                <w:rFonts w:ascii="Calibri" w:eastAsia="Calibri" w:hAnsi="Calibri" w:cs="Calibri"/>
                <w:b/>
                <w:bCs/>
                <w:color w:val="003366"/>
                <w:sz w:val="18"/>
                <w:szCs w:val="18"/>
              </w:rPr>
              <w:t>Battery Bank</w:t>
            </w:r>
          </w:p>
        </w:tc>
        <w:tc>
          <w:tcPr>
            <w:tcW w:w="22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0C47709F" w14:textId="77777777" w:rsidR="0069238D" w:rsidRDefault="00000000">
            <w:proofErr w:type="spellStart"/>
            <w:r>
              <w:rPr>
                <w:rFonts w:ascii="Calibri" w:eastAsia="Calibri" w:hAnsi="Calibri" w:cs="Calibri"/>
                <w:color w:val="444444"/>
                <w:sz w:val="18"/>
                <w:szCs w:val="18"/>
              </w:rPr>
              <w:t>Capacity</w:t>
            </w:r>
            <w:proofErr w:type="spellEnd"/>
          </w:p>
        </w:tc>
        <w:tc>
          <w:tcPr>
            <w:tcW w:w="225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2BB846AD" w14:textId="77777777" w:rsidR="0069238D" w:rsidRDefault="00000000">
            <w:r>
              <w:rPr>
                <w:rFonts w:ascii="Calibri" w:eastAsia="Calibri" w:hAnsi="Calibri" w:cs="Calibri"/>
                <w:color w:val="444444"/>
                <w:sz w:val="18"/>
                <w:szCs w:val="18"/>
              </w:rPr>
              <w:t>400</w:t>
            </w:r>
          </w:p>
        </w:tc>
        <w:tc>
          <w:tcPr>
            <w:tcW w:w="225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577C1631" w14:textId="77777777" w:rsidR="0069238D" w:rsidRDefault="00000000">
            <w:pPr>
              <w:jc w:val="center"/>
            </w:pPr>
            <w:r>
              <w:rPr>
                <w:rFonts w:ascii="Calibri" w:eastAsia="Calibri" w:hAnsi="Calibri" w:cs="Calibri"/>
                <w:color w:val="444444"/>
                <w:sz w:val="18"/>
                <w:szCs w:val="18"/>
              </w:rPr>
              <w:t>Ah</w:t>
            </w:r>
          </w:p>
        </w:tc>
      </w:tr>
      <w:tr w:rsidR="0069238D" w14:paraId="1335AE92" w14:textId="77777777">
        <w:tblPrEx>
          <w:tblCellMar>
            <w:top w:w="0" w:type="dxa"/>
            <w:bottom w:w="0" w:type="dxa"/>
          </w:tblCellMar>
        </w:tblPrEx>
        <w:tc>
          <w:tcPr>
            <w:tcW w:w="22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269D8190" w14:textId="77777777" w:rsidR="0069238D" w:rsidRDefault="00000000">
            <w:r>
              <w:rPr>
                <w:rFonts w:ascii="Calibri" w:eastAsia="Calibri" w:hAnsi="Calibri" w:cs="Calibri"/>
                <w:b/>
                <w:bCs/>
                <w:color w:val="003366"/>
                <w:sz w:val="18"/>
                <w:szCs w:val="18"/>
              </w:rPr>
              <w:t>Battery Bank</w:t>
            </w:r>
          </w:p>
        </w:tc>
        <w:tc>
          <w:tcPr>
            <w:tcW w:w="22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03804084" w14:textId="77777777" w:rsidR="0069238D" w:rsidRDefault="00000000">
            <w:r>
              <w:rPr>
                <w:rFonts w:ascii="Calibri" w:eastAsia="Calibri" w:hAnsi="Calibri" w:cs="Calibri"/>
                <w:color w:val="444444"/>
                <w:sz w:val="18"/>
                <w:szCs w:val="18"/>
              </w:rPr>
              <w:t xml:space="preserve">DoD </w:t>
            </w:r>
            <w:proofErr w:type="spellStart"/>
            <w:r>
              <w:rPr>
                <w:rFonts w:ascii="Calibri" w:eastAsia="Calibri" w:hAnsi="Calibri" w:cs="Calibri"/>
                <w:color w:val="444444"/>
                <w:sz w:val="18"/>
                <w:szCs w:val="18"/>
              </w:rPr>
              <w:t>limit</w:t>
            </w:r>
            <w:proofErr w:type="spellEnd"/>
          </w:p>
        </w:tc>
        <w:tc>
          <w:tcPr>
            <w:tcW w:w="22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6A37BB34" w14:textId="77777777" w:rsidR="0069238D" w:rsidRDefault="00000000">
            <w:r>
              <w:rPr>
                <w:rFonts w:ascii="Calibri" w:eastAsia="Calibri" w:hAnsi="Calibri" w:cs="Calibri"/>
                <w:color w:val="444444"/>
                <w:sz w:val="18"/>
                <w:szCs w:val="18"/>
              </w:rPr>
              <w:t>30</w:t>
            </w:r>
          </w:p>
        </w:tc>
        <w:tc>
          <w:tcPr>
            <w:tcW w:w="22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77159D05" w14:textId="77777777" w:rsidR="0069238D" w:rsidRDefault="00000000">
            <w:pPr>
              <w:jc w:val="center"/>
            </w:pPr>
            <w:r>
              <w:rPr>
                <w:rFonts w:ascii="Calibri" w:eastAsia="Calibri" w:hAnsi="Calibri" w:cs="Calibri"/>
                <w:color w:val="444444"/>
                <w:sz w:val="18"/>
                <w:szCs w:val="18"/>
              </w:rPr>
              <w:t>%</w:t>
            </w:r>
          </w:p>
        </w:tc>
      </w:tr>
      <w:tr w:rsidR="0069238D" w14:paraId="446C2766" w14:textId="77777777">
        <w:tblPrEx>
          <w:tblCellMar>
            <w:top w:w="0" w:type="dxa"/>
            <w:bottom w:w="0" w:type="dxa"/>
          </w:tblCellMar>
        </w:tblPrEx>
        <w:tc>
          <w:tcPr>
            <w:tcW w:w="22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0D76E44B" w14:textId="77777777" w:rsidR="0069238D" w:rsidRDefault="00000000">
            <w:proofErr w:type="spellStart"/>
            <w:r>
              <w:rPr>
                <w:rFonts w:ascii="Calibri" w:eastAsia="Calibri" w:hAnsi="Calibri" w:cs="Calibri"/>
                <w:b/>
                <w:bCs/>
                <w:color w:val="003366"/>
                <w:sz w:val="18"/>
                <w:szCs w:val="18"/>
              </w:rPr>
              <w:t>Hybrid</w:t>
            </w:r>
            <w:proofErr w:type="spellEnd"/>
            <w:r>
              <w:rPr>
                <w:rFonts w:ascii="Calibri" w:eastAsia="Calibri" w:hAnsi="Calibri" w:cs="Calibri"/>
                <w:b/>
                <w:bCs/>
                <w:color w:val="003366"/>
                <w:sz w:val="18"/>
                <w:szCs w:val="18"/>
              </w:rPr>
              <w:t xml:space="preserve"> </w:t>
            </w:r>
            <w:proofErr w:type="spellStart"/>
            <w:r>
              <w:rPr>
                <w:rFonts w:ascii="Calibri" w:eastAsia="Calibri" w:hAnsi="Calibri" w:cs="Calibri"/>
                <w:b/>
                <w:bCs/>
                <w:color w:val="003366"/>
                <w:sz w:val="18"/>
                <w:szCs w:val="18"/>
              </w:rPr>
              <w:t>Inverter</w:t>
            </w:r>
            <w:proofErr w:type="spellEnd"/>
          </w:p>
        </w:tc>
        <w:tc>
          <w:tcPr>
            <w:tcW w:w="22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2520CF24" w14:textId="77777777" w:rsidR="0069238D" w:rsidRDefault="00000000">
            <w:proofErr w:type="spellStart"/>
            <w:r>
              <w:rPr>
                <w:rFonts w:ascii="Calibri" w:eastAsia="Calibri" w:hAnsi="Calibri" w:cs="Calibri"/>
                <w:color w:val="444444"/>
                <w:sz w:val="18"/>
                <w:szCs w:val="18"/>
              </w:rPr>
              <w:t>Rated</w:t>
            </w:r>
            <w:proofErr w:type="spellEnd"/>
            <w:r>
              <w:rPr>
                <w:rFonts w:ascii="Calibri" w:eastAsia="Calibri" w:hAnsi="Calibri" w:cs="Calibri"/>
                <w:color w:val="444444"/>
                <w:sz w:val="18"/>
                <w:szCs w:val="18"/>
              </w:rPr>
              <w:t xml:space="preserve"> power</w:t>
            </w:r>
          </w:p>
        </w:tc>
        <w:tc>
          <w:tcPr>
            <w:tcW w:w="225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76B74CE6" w14:textId="77777777" w:rsidR="0069238D" w:rsidRDefault="00000000">
            <w:r>
              <w:rPr>
                <w:rFonts w:ascii="Calibri" w:eastAsia="Calibri" w:hAnsi="Calibri" w:cs="Calibri"/>
                <w:color w:val="444444"/>
                <w:sz w:val="18"/>
                <w:szCs w:val="18"/>
              </w:rPr>
              <w:t>3</w:t>
            </w:r>
          </w:p>
        </w:tc>
        <w:tc>
          <w:tcPr>
            <w:tcW w:w="225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710E15ED" w14:textId="77777777" w:rsidR="0069238D" w:rsidRDefault="00000000">
            <w:pPr>
              <w:jc w:val="center"/>
            </w:pPr>
            <w:proofErr w:type="gramStart"/>
            <w:r>
              <w:rPr>
                <w:rFonts w:ascii="Calibri" w:eastAsia="Calibri" w:hAnsi="Calibri" w:cs="Calibri"/>
                <w:color w:val="444444"/>
                <w:sz w:val="18"/>
                <w:szCs w:val="18"/>
              </w:rPr>
              <w:t>kVA</w:t>
            </w:r>
            <w:proofErr w:type="gramEnd"/>
          </w:p>
        </w:tc>
      </w:tr>
      <w:tr w:rsidR="0069238D" w14:paraId="7A053209" w14:textId="77777777">
        <w:tblPrEx>
          <w:tblCellMar>
            <w:top w:w="0" w:type="dxa"/>
            <w:bottom w:w="0" w:type="dxa"/>
          </w:tblCellMar>
        </w:tblPrEx>
        <w:tc>
          <w:tcPr>
            <w:tcW w:w="22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0430491A" w14:textId="77777777" w:rsidR="0069238D" w:rsidRDefault="00000000">
            <w:proofErr w:type="spellStart"/>
            <w:r>
              <w:rPr>
                <w:rFonts w:ascii="Calibri" w:eastAsia="Calibri" w:hAnsi="Calibri" w:cs="Calibri"/>
                <w:b/>
                <w:bCs/>
                <w:color w:val="003366"/>
                <w:sz w:val="18"/>
                <w:szCs w:val="18"/>
              </w:rPr>
              <w:t>Hybrid</w:t>
            </w:r>
            <w:proofErr w:type="spellEnd"/>
            <w:r>
              <w:rPr>
                <w:rFonts w:ascii="Calibri" w:eastAsia="Calibri" w:hAnsi="Calibri" w:cs="Calibri"/>
                <w:b/>
                <w:bCs/>
                <w:color w:val="003366"/>
                <w:sz w:val="18"/>
                <w:szCs w:val="18"/>
              </w:rPr>
              <w:t xml:space="preserve"> </w:t>
            </w:r>
            <w:proofErr w:type="spellStart"/>
            <w:r>
              <w:rPr>
                <w:rFonts w:ascii="Calibri" w:eastAsia="Calibri" w:hAnsi="Calibri" w:cs="Calibri"/>
                <w:b/>
                <w:bCs/>
                <w:color w:val="003366"/>
                <w:sz w:val="18"/>
                <w:szCs w:val="18"/>
              </w:rPr>
              <w:t>Inverter</w:t>
            </w:r>
            <w:proofErr w:type="spellEnd"/>
          </w:p>
        </w:tc>
        <w:tc>
          <w:tcPr>
            <w:tcW w:w="22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4B712424" w14:textId="77777777" w:rsidR="0069238D" w:rsidRDefault="00000000">
            <w:proofErr w:type="spellStart"/>
            <w:r>
              <w:rPr>
                <w:rFonts w:ascii="Calibri" w:eastAsia="Calibri" w:hAnsi="Calibri" w:cs="Calibri"/>
                <w:color w:val="444444"/>
                <w:sz w:val="18"/>
                <w:szCs w:val="18"/>
              </w:rPr>
              <w:t>Efficiency</w:t>
            </w:r>
            <w:proofErr w:type="spellEnd"/>
          </w:p>
        </w:tc>
        <w:tc>
          <w:tcPr>
            <w:tcW w:w="22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4E844DAC" w14:textId="77777777" w:rsidR="0069238D" w:rsidRDefault="00000000">
            <w:r>
              <w:rPr>
                <w:rFonts w:ascii="Calibri" w:eastAsia="Calibri" w:hAnsi="Calibri" w:cs="Calibri"/>
                <w:color w:val="444444"/>
                <w:sz w:val="18"/>
                <w:szCs w:val="18"/>
              </w:rPr>
              <w:t>≥ 94</w:t>
            </w:r>
          </w:p>
        </w:tc>
        <w:tc>
          <w:tcPr>
            <w:tcW w:w="22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44A49C19" w14:textId="77777777" w:rsidR="0069238D" w:rsidRDefault="00000000">
            <w:pPr>
              <w:jc w:val="center"/>
            </w:pPr>
            <w:r>
              <w:rPr>
                <w:rFonts w:ascii="Calibri" w:eastAsia="Calibri" w:hAnsi="Calibri" w:cs="Calibri"/>
                <w:color w:val="444444"/>
                <w:sz w:val="18"/>
                <w:szCs w:val="18"/>
              </w:rPr>
              <w:t>%</w:t>
            </w:r>
          </w:p>
        </w:tc>
      </w:tr>
      <w:tr w:rsidR="0069238D" w14:paraId="3930EE7A" w14:textId="77777777">
        <w:tblPrEx>
          <w:tblCellMar>
            <w:top w:w="0" w:type="dxa"/>
            <w:bottom w:w="0" w:type="dxa"/>
          </w:tblCellMar>
        </w:tblPrEx>
        <w:tc>
          <w:tcPr>
            <w:tcW w:w="22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345D83FF" w14:textId="77777777" w:rsidR="0069238D" w:rsidRDefault="00000000">
            <w:r>
              <w:rPr>
                <w:rFonts w:ascii="Calibri" w:eastAsia="Calibri" w:hAnsi="Calibri" w:cs="Calibri"/>
                <w:b/>
                <w:bCs/>
                <w:color w:val="003366"/>
                <w:sz w:val="18"/>
                <w:szCs w:val="18"/>
              </w:rPr>
              <w:t xml:space="preserve">Diesel </w:t>
            </w:r>
            <w:proofErr w:type="spellStart"/>
            <w:r>
              <w:rPr>
                <w:rFonts w:ascii="Calibri" w:eastAsia="Calibri" w:hAnsi="Calibri" w:cs="Calibri"/>
                <w:b/>
                <w:bCs/>
                <w:color w:val="003366"/>
                <w:sz w:val="18"/>
                <w:szCs w:val="18"/>
              </w:rPr>
              <w:t>Generator</w:t>
            </w:r>
            <w:proofErr w:type="spellEnd"/>
          </w:p>
        </w:tc>
        <w:tc>
          <w:tcPr>
            <w:tcW w:w="22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029DA9E1" w14:textId="77777777" w:rsidR="0069238D" w:rsidRDefault="00000000">
            <w:proofErr w:type="spellStart"/>
            <w:r>
              <w:rPr>
                <w:rFonts w:ascii="Calibri" w:eastAsia="Calibri" w:hAnsi="Calibri" w:cs="Calibri"/>
                <w:color w:val="444444"/>
                <w:sz w:val="18"/>
                <w:szCs w:val="18"/>
              </w:rPr>
              <w:t>Rated</w:t>
            </w:r>
            <w:proofErr w:type="spellEnd"/>
            <w:r>
              <w:rPr>
                <w:rFonts w:ascii="Calibri" w:eastAsia="Calibri" w:hAnsi="Calibri" w:cs="Calibri"/>
                <w:color w:val="444444"/>
                <w:sz w:val="18"/>
                <w:szCs w:val="18"/>
              </w:rPr>
              <w:t xml:space="preserve"> power</w:t>
            </w:r>
          </w:p>
        </w:tc>
        <w:tc>
          <w:tcPr>
            <w:tcW w:w="225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758AC0DA" w14:textId="77777777" w:rsidR="0069238D" w:rsidRDefault="00000000">
            <w:r>
              <w:rPr>
                <w:rFonts w:ascii="Calibri" w:eastAsia="Calibri" w:hAnsi="Calibri" w:cs="Calibri"/>
                <w:color w:val="444444"/>
                <w:sz w:val="18"/>
                <w:szCs w:val="18"/>
              </w:rPr>
              <w:t>5</w:t>
            </w:r>
          </w:p>
        </w:tc>
        <w:tc>
          <w:tcPr>
            <w:tcW w:w="2257"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67155A2A" w14:textId="77777777" w:rsidR="0069238D" w:rsidRDefault="00000000">
            <w:pPr>
              <w:jc w:val="center"/>
            </w:pPr>
            <w:proofErr w:type="gramStart"/>
            <w:r>
              <w:rPr>
                <w:rFonts w:ascii="Calibri" w:eastAsia="Calibri" w:hAnsi="Calibri" w:cs="Calibri"/>
                <w:color w:val="444444"/>
                <w:sz w:val="18"/>
                <w:szCs w:val="18"/>
              </w:rPr>
              <w:t>kVA</w:t>
            </w:r>
            <w:proofErr w:type="gramEnd"/>
          </w:p>
        </w:tc>
      </w:tr>
      <w:tr w:rsidR="0069238D" w14:paraId="7628FDF5" w14:textId="77777777">
        <w:tblPrEx>
          <w:tblCellMar>
            <w:top w:w="0" w:type="dxa"/>
            <w:bottom w:w="0" w:type="dxa"/>
          </w:tblCellMar>
        </w:tblPrEx>
        <w:tc>
          <w:tcPr>
            <w:tcW w:w="22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25398368" w14:textId="77777777" w:rsidR="0069238D" w:rsidRDefault="00000000">
            <w:r>
              <w:rPr>
                <w:rFonts w:ascii="Calibri" w:eastAsia="Calibri" w:hAnsi="Calibri" w:cs="Calibri"/>
                <w:b/>
                <w:bCs/>
                <w:color w:val="003366"/>
                <w:sz w:val="18"/>
                <w:szCs w:val="18"/>
              </w:rPr>
              <w:t xml:space="preserve">Diesel </w:t>
            </w:r>
            <w:proofErr w:type="spellStart"/>
            <w:r>
              <w:rPr>
                <w:rFonts w:ascii="Calibri" w:eastAsia="Calibri" w:hAnsi="Calibri" w:cs="Calibri"/>
                <w:b/>
                <w:bCs/>
                <w:color w:val="003366"/>
                <w:sz w:val="18"/>
                <w:szCs w:val="18"/>
              </w:rPr>
              <w:t>Generator</w:t>
            </w:r>
            <w:proofErr w:type="spellEnd"/>
          </w:p>
        </w:tc>
        <w:tc>
          <w:tcPr>
            <w:tcW w:w="22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2A72F264" w14:textId="77777777" w:rsidR="0069238D" w:rsidRDefault="00000000">
            <w:r>
              <w:rPr>
                <w:rFonts w:ascii="Calibri" w:eastAsia="Calibri" w:hAnsi="Calibri" w:cs="Calibri"/>
                <w:color w:val="444444"/>
                <w:sz w:val="18"/>
                <w:szCs w:val="18"/>
              </w:rPr>
              <w:t xml:space="preserve">Fuel </w:t>
            </w:r>
            <w:proofErr w:type="spellStart"/>
            <w:r>
              <w:rPr>
                <w:rFonts w:ascii="Calibri" w:eastAsia="Calibri" w:hAnsi="Calibri" w:cs="Calibri"/>
                <w:color w:val="444444"/>
                <w:sz w:val="18"/>
                <w:szCs w:val="18"/>
              </w:rPr>
              <w:t>consumption</w:t>
            </w:r>
            <w:proofErr w:type="spellEnd"/>
          </w:p>
        </w:tc>
        <w:tc>
          <w:tcPr>
            <w:tcW w:w="22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16C9B65B" w14:textId="77777777" w:rsidR="0069238D" w:rsidRDefault="00000000">
            <w:r>
              <w:rPr>
                <w:rFonts w:ascii="Calibri" w:eastAsia="Calibri" w:hAnsi="Calibri" w:cs="Calibri"/>
                <w:color w:val="444444"/>
                <w:sz w:val="18"/>
                <w:szCs w:val="18"/>
              </w:rPr>
              <w:t>1.2</w:t>
            </w:r>
          </w:p>
        </w:tc>
        <w:tc>
          <w:tcPr>
            <w:tcW w:w="2257"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5365743C" w14:textId="77777777" w:rsidR="0069238D" w:rsidRDefault="00000000">
            <w:pPr>
              <w:jc w:val="center"/>
            </w:pPr>
            <w:r>
              <w:rPr>
                <w:rFonts w:ascii="Calibri" w:eastAsia="Calibri" w:hAnsi="Calibri" w:cs="Calibri"/>
                <w:color w:val="444444"/>
                <w:sz w:val="18"/>
                <w:szCs w:val="18"/>
              </w:rPr>
              <w:t>L/kWh</w:t>
            </w:r>
          </w:p>
        </w:tc>
      </w:tr>
    </w:tbl>
    <w:p w14:paraId="1DA389E1" w14:textId="77777777" w:rsidR="0069238D" w:rsidRDefault="0069238D">
      <w:pPr>
        <w:spacing w:before="80" w:after="40"/>
      </w:pPr>
    </w:p>
    <w:p w14:paraId="25ED498B" w14:textId="77777777" w:rsidR="0069238D" w:rsidRDefault="00000000">
      <w:pPr>
        <w:pStyle w:val="Titre2"/>
      </w:pPr>
      <w:proofErr w:type="gramStart"/>
      <w:r>
        <w:t>4.3  Adaptive</w:t>
      </w:r>
      <w:proofErr w:type="gramEnd"/>
      <w:r>
        <w:t xml:space="preserve"> MPPT </w:t>
      </w:r>
      <w:proofErr w:type="spellStart"/>
      <w:r>
        <w:t>Algorithm</w:t>
      </w:r>
      <w:proofErr w:type="spellEnd"/>
    </w:p>
    <w:p w14:paraId="1B2B13F1" w14:textId="77777777" w:rsidR="0069238D" w:rsidRPr="0014526F" w:rsidRDefault="00000000">
      <w:pPr>
        <w:spacing w:before="80" w:after="80" w:line="276" w:lineRule="auto"/>
        <w:jc w:val="both"/>
        <w:rPr>
          <w:lang w:val="en-US"/>
        </w:rPr>
      </w:pPr>
      <w:r w:rsidRPr="0014526F">
        <w:rPr>
          <w:color w:val="444444"/>
          <w:lang w:val="en-US"/>
        </w:rPr>
        <w:t>The proposed MPPT controller is based on a Mamdani-type Fuzzy Logic Controller (FLC) with two inputs and one output. The inputs are the instantaneous power variation (</w:t>
      </w:r>
      <w:r>
        <w:rPr>
          <w:color w:val="444444"/>
        </w:rPr>
        <w:t>Δ</w:t>
      </w:r>
      <w:r w:rsidRPr="0014526F">
        <w:rPr>
          <w:color w:val="444444"/>
          <w:lang w:val="en-US"/>
        </w:rPr>
        <w:t>P = P(k) − P(k−1)) and the voltage variation (</w:t>
      </w:r>
      <w:r>
        <w:rPr>
          <w:color w:val="444444"/>
        </w:rPr>
        <w:t>Δ</w:t>
      </w:r>
      <w:r w:rsidRPr="0014526F">
        <w:rPr>
          <w:color w:val="444444"/>
          <w:lang w:val="en-US"/>
        </w:rPr>
        <w:t>V = V(k) − V(k−1)). The output is the duty-cycle adjustment (</w:t>
      </w:r>
      <w:r>
        <w:rPr>
          <w:color w:val="444444"/>
        </w:rPr>
        <w:t>Δ</w:t>
      </w:r>
      <w:r w:rsidRPr="0014526F">
        <w:rPr>
          <w:color w:val="444444"/>
          <w:lang w:val="en-US"/>
        </w:rPr>
        <w:t>D). Seven triangular membership functions are defined for each variable (NB, NM, NS, ZE, PS, PM, PB), yielding a 7×7 rule base of 49 IF-THEN rules derived from the PV characteristic curve.</w:t>
      </w:r>
    </w:p>
    <w:p w14:paraId="5EA8D21A" w14:textId="77777777" w:rsidR="0069238D" w:rsidRPr="0014526F" w:rsidRDefault="0069238D">
      <w:pPr>
        <w:spacing w:before="60" w:after="40"/>
        <w:rPr>
          <w:lang w:val="en-US"/>
        </w:rPr>
      </w:pPr>
    </w:p>
    <w:p w14:paraId="0D910936" w14:textId="77777777" w:rsidR="0069238D" w:rsidRPr="0014526F" w:rsidRDefault="00000000">
      <w:pPr>
        <w:spacing w:before="80" w:after="80" w:line="276" w:lineRule="auto"/>
        <w:jc w:val="both"/>
        <w:rPr>
          <w:lang w:val="en-US"/>
        </w:rPr>
      </w:pPr>
      <w:r w:rsidRPr="0014526F">
        <w:rPr>
          <w:color w:val="444444"/>
          <w:lang w:val="en-US"/>
        </w:rPr>
        <w:t xml:space="preserve">The key innovation of the proposed algorithm is a temperature-compensated defuzzification step: the centroid output </w:t>
      </w:r>
      <w:r>
        <w:rPr>
          <w:color w:val="444444"/>
        </w:rPr>
        <w:t>Δ</w:t>
      </w:r>
      <w:r w:rsidRPr="0014526F">
        <w:rPr>
          <w:color w:val="444444"/>
          <w:lang w:val="en-US"/>
        </w:rPr>
        <w:t xml:space="preserve">D is multiplied by an adaptive gain factor </w:t>
      </w:r>
      <w:r>
        <w:rPr>
          <w:color w:val="444444"/>
        </w:rPr>
        <w:t>κ</w:t>
      </w:r>
      <w:r w:rsidRPr="0014526F">
        <w:rPr>
          <w:color w:val="444444"/>
          <w:lang w:val="en-US"/>
        </w:rPr>
        <w:t xml:space="preserve">(T) = 1 + </w:t>
      </w:r>
      <w:proofErr w:type="gramStart"/>
      <w:r>
        <w:rPr>
          <w:color w:val="444444"/>
        </w:rPr>
        <w:t>α</w:t>
      </w:r>
      <w:r w:rsidRPr="0014526F">
        <w:rPr>
          <w:color w:val="444444"/>
          <w:lang w:val="en-US"/>
        </w:rPr>
        <w:t>(</w:t>
      </w:r>
      <w:proofErr w:type="gramEnd"/>
      <w:r w:rsidRPr="0014526F">
        <w:rPr>
          <w:color w:val="444444"/>
          <w:lang w:val="en-US"/>
        </w:rPr>
        <w:t xml:space="preserve">T − TSTC), where T is the measured module temperature, TSTC = 25°C, and </w:t>
      </w:r>
      <w:r>
        <w:rPr>
          <w:color w:val="444444"/>
        </w:rPr>
        <w:t>α</w:t>
      </w:r>
      <w:r w:rsidRPr="0014526F">
        <w:rPr>
          <w:color w:val="444444"/>
          <w:lang w:val="en-US"/>
        </w:rPr>
        <w:t xml:space="preserve"> = 0.004°C⁻¹ is the empirically derived compensation coefficient. This ensures the step size adapts to operating temperature, reducing oscillations at high temperatures typical of tropical noon conditions.</w:t>
      </w:r>
    </w:p>
    <w:p w14:paraId="101B2753" w14:textId="77777777" w:rsidR="0069238D" w:rsidRPr="0014526F" w:rsidRDefault="0069238D">
      <w:pPr>
        <w:spacing w:before="80" w:after="40"/>
        <w:rPr>
          <w:lang w:val="en-US"/>
        </w:rPr>
      </w:pPr>
    </w:p>
    <w:p w14:paraId="7CC0524C" w14:textId="77777777" w:rsidR="0069238D" w:rsidRPr="0014526F" w:rsidRDefault="00000000">
      <w:pPr>
        <w:pStyle w:val="Titre2"/>
        <w:rPr>
          <w:lang w:val="en-US"/>
        </w:rPr>
      </w:pPr>
      <w:proofErr w:type="gramStart"/>
      <w:r w:rsidRPr="0014526F">
        <w:rPr>
          <w:lang w:val="en-US"/>
        </w:rPr>
        <w:t>4.4  Simulation</w:t>
      </w:r>
      <w:proofErr w:type="gramEnd"/>
      <w:r w:rsidRPr="0014526F">
        <w:rPr>
          <w:lang w:val="en-US"/>
        </w:rPr>
        <w:t xml:space="preserve"> Environment</w:t>
      </w:r>
    </w:p>
    <w:p w14:paraId="792221D2" w14:textId="77777777" w:rsidR="0069238D" w:rsidRPr="0014526F" w:rsidRDefault="00000000">
      <w:pPr>
        <w:pStyle w:val="Titre3"/>
        <w:rPr>
          <w:lang w:val="en-US"/>
        </w:rPr>
      </w:pPr>
      <w:proofErr w:type="gramStart"/>
      <w:r w:rsidRPr="0014526F">
        <w:rPr>
          <w:lang w:val="en-US"/>
        </w:rPr>
        <w:t>4.4.1  MATLAB</w:t>
      </w:r>
      <w:proofErr w:type="gramEnd"/>
      <w:r w:rsidRPr="0014526F">
        <w:rPr>
          <w:lang w:val="en-US"/>
        </w:rPr>
        <w:t>/Simulink Model</w:t>
      </w:r>
    </w:p>
    <w:p w14:paraId="2D786B01" w14:textId="77777777" w:rsidR="0069238D" w:rsidRPr="0014526F" w:rsidRDefault="00000000">
      <w:pPr>
        <w:spacing w:before="80" w:after="80" w:line="276" w:lineRule="auto"/>
        <w:jc w:val="both"/>
        <w:rPr>
          <w:lang w:val="en-US"/>
        </w:rPr>
      </w:pPr>
      <w:r w:rsidRPr="0014526F">
        <w:rPr>
          <w:color w:val="444444"/>
          <w:lang w:val="en-US"/>
        </w:rPr>
        <w:t xml:space="preserve">The full system was implemented in MATLAB R2023b/Simulink using the </w:t>
      </w:r>
      <w:proofErr w:type="spellStart"/>
      <w:r w:rsidRPr="0014526F">
        <w:rPr>
          <w:color w:val="444444"/>
          <w:lang w:val="en-US"/>
        </w:rPr>
        <w:t>SimPowerSystems</w:t>
      </w:r>
      <w:proofErr w:type="spellEnd"/>
      <w:r w:rsidRPr="0014526F">
        <w:rPr>
          <w:color w:val="444444"/>
          <w:lang w:val="en-US"/>
        </w:rPr>
        <w:t xml:space="preserve"> toolbox. The PV module was modelled using the five-parameter single-diode equivalent circuit, with temperature correction applied to both the photocurrent (</w:t>
      </w:r>
      <w:proofErr w:type="spellStart"/>
      <w:r w:rsidRPr="0014526F">
        <w:rPr>
          <w:color w:val="444444"/>
          <w:lang w:val="en-US"/>
        </w:rPr>
        <w:t>I_ph</w:t>
      </w:r>
      <w:proofErr w:type="spellEnd"/>
      <w:r w:rsidRPr="0014526F">
        <w:rPr>
          <w:color w:val="444444"/>
          <w:lang w:val="en-US"/>
        </w:rPr>
        <w:t xml:space="preserve">) and the diode saturation current (I_0). The battery was modelled using the Shepherd discharge model with a </w:t>
      </w:r>
      <w:proofErr w:type="spellStart"/>
      <w:r w:rsidRPr="0014526F">
        <w:rPr>
          <w:color w:val="444444"/>
          <w:lang w:val="en-US"/>
        </w:rPr>
        <w:t>Peukert</w:t>
      </w:r>
      <w:proofErr w:type="spellEnd"/>
      <w:r w:rsidRPr="0014526F">
        <w:rPr>
          <w:color w:val="444444"/>
          <w:lang w:val="en-US"/>
        </w:rPr>
        <w:t xml:space="preserve"> coefficient of 1.18. The diesel generator was modelled as a controlled current source with a fuel consumption curve calibrated from the manufacturer datasheet.</w:t>
      </w:r>
    </w:p>
    <w:p w14:paraId="7FADC69F" w14:textId="77777777" w:rsidR="0069238D" w:rsidRPr="0014526F" w:rsidRDefault="0069238D">
      <w:pPr>
        <w:spacing w:before="60" w:after="40"/>
        <w:rPr>
          <w:lang w:val="en-US"/>
        </w:rPr>
      </w:pPr>
    </w:p>
    <w:p w14:paraId="48A9C9FB" w14:textId="77777777" w:rsidR="0069238D" w:rsidRPr="0014526F" w:rsidRDefault="00000000">
      <w:pPr>
        <w:pStyle w:val="Titre3"/>
        <w:rPr>
          <w:lang w:val="en-US"/>
        </w:rPr>
      </w:pPr>
      <w:proofErr w:type="gramStart"/>
      <w:r w:rsidRPr="0014526F">
        <w:rPr>
          <w:lang w:val="en-US"/>
        </w:rPr>
        <w:t>4.4.2  Simulation</w:t>
      </w:r>
      <w:proofErr w:type="gramEnd"/>
      <w:r w:rsidRPr="0014526F">
        <w:rPr>
          <w:lang w:val="en-US"/>
        </w:rPr>
        <w:t xml:space="preserve"> Scenarios</w:t>
      </w:r>
    </w:p>
    <w:p w14:paraId="34B684B7" w14:textId="77777777" w:rsidR="0069238D" w:rsidRPr="0014526F" w:rsidRDefault="00000000">
      <w:pPr>
        <w:spacing w:before="80" w:after="80" w:line="276" w:lineRule="auto"/>
        <w:jc w:val="both"/>
        <w:rPr>
          <w:lang w:val="en-US"/>
        </w:rPr>
      </w:pPr>
      <w:r w:rsidRPr="0014526F">
        <w:rPr>
          <w:color w:val="444444"/>
          <w:lang w:val="en-US"/>
        </w:rPr>
        <w:t xml:space="preserve">Three scenarios were simulated over a full calendar year using one-minute time steps: (S1) proposed adaptive MPPT with FLC; (S2) classical fixed duty-cycle controller (fixed step size </w:t>
      </w:r>
      <w:r>
        <w:rPr>
          <w:color w:val="444444"/>
        </w:rPr>
        <w:t>Δ</w:t>
      </w:r>
      <w:r w:rsidRPr="0014526F">
        <w:rPr>
          <w:color w:val="444444"/>
          <w:lang w:val="en-US"/>
        </w:rPr>
        <w:t>D = 0.005); and (S3) diesel-only baseline. Performance metrics were computed on a daily and annual basis.</w:t>
      </w:r>
    </w:p>
    <w:p w14:paraId="590E34D9" w14:textId="77777777" w:rsidR="0069238D" w:rsidRPr="0014526F" w:rsidRDefault="0069238D">
      <w:pPr>
        <w:spacing w:before="60" w:after="40"/>
        <w:rPr>
          <w:lang w:val="en-US"/>
        </w:rPr>
      </w:pPr>
    </w:p>
    <w:p w14:paraId="110E56E8" w14:textId="77777777" w:rsidR="0069238D" w:rsidRPr="0014526F" w:rsidRDefault="00000000">
      <w:pPr>
        <w:pStyle w:val="Titre2"/>
        <w:rPr>
          <w:lang w:val="en-US"/>
        </w:rPr>
      </w:pPr>
      <w:proofErr w:type="gramStart"/>
      <w:r w:rsidRPr="0014526F">
        <w:rPr>
          <w:lang w:val="en-US"/>
        </w:rPr>
        <w:t>4.5  Economic</w:t>
      </w:r>
      <w:proofErr w:type="gramEnd"/>
      <w:r w:rsidRPr="0014526F">
        <w:rPr>
          <w:lang w:val="en-US"/>
        </w:rPr>
        <w:t xml:space="preserve"> Performance Indicators</w:t>
      </w:r>
    </w:p>
    <w:p w14:paraId="6E28AF3C" w14:textId="77777777" w:rsidR="0069238D" w:rsidRPr="0014526F" w:rsidRDefault="00000000">
      <w:pPr>
        <w:spacing w:before="80" w:after="80" w:line="276" w:lineRule="auto"/>
        <w:jc w:val="both"/>
        <w:rPr>
          <w:lang w:val="en-US"/>
        </w:rPr>
      </w:pPr>
      <w:r w:rsidRPr="0014526F">
        <w:rPr>
          <w:color w:val="444444"/>
          <w:lang w:val="en-US"/>
        </w:rPr>
        <w:t xml:space="preserve">The economic analysis is based on the </w:t>
      </w:r>
      <w:proofErr w:type="spellStart"/>
      <w:r w:rsidRPr="0014526F">
        <w:rPr>
          <w:color w:val="444444"/>
          <w:lang w:val="en-US"/>
        </w:rPr>
        <w:t>Levelised</w:t>
      </w:r>
      <w:proofErr w:type="spellEnd"/>
      <w:r w:rsidRPr="0014526F">
        <w:rPr>
          <w:color w:val="444444"/>
          <w:lang w:val="en-US"/>
        </w:rPr>
        <w:t xml:space="preserve"> Cost of Energy (LCOE), computed as the ratio of the total </w:t>
      </w:r>
      <w:proofErr w:type="spellStart"/>
      <w:r w:rsidRPr="0014526F">
        <w:rPr>
          <w:color w:val="444444"/>
          <w:lang w:val="en-US"/>
        </w:rPr>
        <w:t>annualised</w:t>
      </w:r>
      <w:proofErr w:type="spellEnd"/>
      <w:r w:rsidRPr="0014526F">
        <w:rPr>
          <w:color w:val="444444"/>
          <w:lang w:val="en-US"/>
        </w:rPr>
        <w:t xml:space="preserve"> system cost to the total annual energy delivered to the load. Capital costs, operation and maintenance costs, fuel costs and replacement costs were obtained from market surveys conducted in Cameroon in January 2025. A project lifetime of 20 years, a discount rate of 8%, and a diesel fuel price of XAF 650/</w:t>
      </w:r>
      <w:proofErr w:type="spellStart"/>
      <w:r w:rsidRPr="0014526F">
        <w:rPr>
          <w:color w:val="444444"/>
          <w:lang w:val="en-US"/>
        </w:rPr>
        <w:t>litre</w:t>
      </w:r>
      <w:proofErr w:type="spellEnd"/>
      <w:r w:rsidRPr="0014526F">
        <w:rPr>
          <w:color w:val="444444"/>
          <w:lang w:val="en-US"/>
        </w:rPr>
        <w:t xml:space="preserve"> (USD 1.08/</w:t>
      </w:r>
      <w:proofErr w:type="spellStart"/>
      <w:r w:rsidRPr="0014526F">
        <w:rPr>
          <w:color w:val="444444"/>
          <w:lang w:val="en-US"/>
        </w:rPr>
        <w:t>litre</w:t>
      </w:r>
      <w:proofErr w:type="spellEnd"/>
      <w:r w:rsidRPr="0014526F">
        <w:rPr>
          <w:color w:val="444444"/>
          <w:lang w:val="en-US"/>
        </w:rPr>
        <w:t>) were assumed.</w:t>
      </w:r>
    </w:p>
    <w:p w14:paraId="29D79067" w14:textId="77777777" w:rsidR="0069238D" w:rsidRPr="0014526F" w:rsidRDefault="0069238D">
      <w:pPr>
        <w:spacing w:before="160" w:after="60"/>
        <w:rPr>
          <w:lang w:val="en-US"/>
        </w:rPr>
      </w:pPr>
    </w:p>
    <w:p w14:paraId="4DCB7FC8" w14:textId="77777777" w:rsidR="0069238D" w:rsidRPr="0014526F" w:rsidRDefault="0069238D">
      <w:pPr>
        <w:pBdr>
          <w:bottom w:val="single" w:sz="4" w:space="1" w:color="CCCCCC"/>
        </w:pBdr>
        <w:rPr>
          <w:lang w:val="en-US"/>
        </w:rPr>
      </w:pPr>
    </w:p>
    <w:p w14:paraId="12F1F69F" w14:textId="77777777" w:rsidR="0069238D" w:rsidRDefault="00000000">
      <w:pPr>
        <w:pStyle w:val="Titre1"/>
      </w:pPr>
      <w:r>
        <w:t>5.  Results</w:t>
      </w:r>
    </w:p>
    <w:p w14:paraId="678EF8DE" w14:textId="77777777" w:rsidR="0069238D" w:rsidRDefault="0069238D">
      <w:pPr>
        <w:pBdr>
          <w:bottom w:val="single" w:sz="6" w:space="1" w:color="007B7F"/>
        </w:pBdr>
      </w:pPr>
    </w:p>
    <w:p w14:paraId="72EE44F2" w14:textId="77777777" w:rsidR="0069238D" w:rsidRDefault="0069238D">
      <w:pPr>
        <w:spacing w:before="80" w:after="40"/>
      </w:pPr>
    </w:p>
    <w:p w14:paraId="39D7F21F" w14:textId="77777777" w:rsidR="0069238D" w:rsidRPr="0014526F" w:rsidRDefault="00000000">
      <w:pPr>
        <w:pStyle w:val="Titre2"/>
        <w:rPr>
          <w:lang w:val="en-US"/>
        </w:rPr>
      </w:pPr>
      <w:proofErr w:type="gramStart"/>
      <w:r w:rsidRPr="0014526F">
        <w:rPr>
          <w:lang w:val="en-US"/>
        </w:rPr>
        <w:t>5.1  Battery</w:t>
      </w:r>
      <w:proofErr w:type="gramEnd"/>
      <w:r w:rsidRPr="0014526F">
        <w:rPr>
          <w:lang w:val="en-US"/>
        </w:rPr>
        <w:t xml:space="preserve"> State of Charge Profiles</w:t>
      </w:r>
    </w:p>
    <w:p w14:paraId="2C7072FE" w14:textId="77777777" w:rsidR="0069238D" w:rsidRPr="0014526F" w:rsidRDefault="00000000">
      <w:pPr>
        <w:spacing w:before="80" w:after="80" w:line="276" w:lineRule="auto"/>
        <w:jc w:val="both"/>
        <w:rPr>
          <w:lang w:val="en-US"/>
        </w:rPr>
      </w:pPr>
      <w:r w:rsidRPr="0014526F">
        <w:rPr>
          <w:color w:val="444444"/>
          <w:lang w:val="en-US"/>
        </w:rPr>
        <w:t>Figure 3 presents the simulated state of charge (SoC) of the battery bank over a representative 24-hour period in April (peak irradiance month) for the three scenarios. Scenario S1 (proposed hybrid MPPT) maintains the SoC within the optimal 40–90% range throughout the day, with a minimum SoC of 41% recorded at 06:00 before sunrise. Scenario S2 (fixed duty-cycle) exhibits deeper discharge cycles, with a minimum SoC of 28%, which is below the depth-of-discharge (DoD) limit and would accelerate battery ageing. Scenario S3 (diesel-only) shows a flat SoC profile as the battery is not significantly used.</w:t>
      </w:r>
    </w:p>
    <w:p w14:paraId="70F84B0B" w14:textId="77777777" w:rsidR="0069238D" w:rsidRPr="0014526F" w:rsidRDefault="0069238D">
      <w:pPr>
        <w:spacing w:before="60" w:after="40"/>
        <w:rPr>
          <w:lang w:val="en-US"/>
        </w:rPr>
      </w:pPr>
    </w:p>
    <w:p w14:paraId="0063DDDC" w14:textId="77777777" w:rsidR="0069238D" w:rsidRDefault="00000000">
      <w:pPr>
        <w:spacing w:before="80" w:after="40"/>
        <w:jc w:val="center"/>
      </w:pPr>
      <w:r>
        <w:rPr>
          <w:noProof/>
        </w:rPr>
        <w:drawing>
          <wp:inline distT="0" distB="0" distL="0" distR="0" wp14:anchorId="3F2E724D" wp14:editId="73E3D680">
            <wp:extent cx="5524500" cy="2209800"/>
            <wp:effectExtent l="0" t="0" r="0" b="0"/>
            <wp:docPr id="321421295" name="Image 32142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524500" cy="2209800"/>
                    </a:xfrm>
                    <a:prstGeom prst="rect">
                      <a:avLst/>
                    </a:prstGeom>
                  </pic:spPr>
                </pic:pic>
              </a:graphicData>
            </a:graphic>
          </wp:inline>
        </w:drawing>
      </w:r>
    </w:p>
    <w:p w14:paraId="2D957F81" w14:textId="4FFD0820" w:rsidR="0069238D" w:rsidRPr="0014526F" w:rsidRDefault="00000000" w:rsidP="00777732">
      <w:pPr>
        <w:spacing w:before="60" w:after="120"/>
        <w:jc w:val="center"/>
        <w:rPr>
          <w:lang w:val="en-US"/>
        </w:rPr>
      </w:pPr>
      <w:r w:rsidRPr="0014526F">
        <w:rPr>
          <w:rFonts w:ascii="Calibri" w:eastAsia="Calibri" w:hAnsi="Calibri" w:cs="Calibri"/>
          <w:color w:val="444444"/>
          <w:sz w:val="20"/>
          <w:szCs w:val="20"/>
          <w:lang w:val="en-US"/>
        </w:rPr>
        <w:t>Figure 3 — Simulated 24-hour battery state of charge profiles for the three scenarios (April 15, peak irradiance day). The dotted red line indicates the DoD safety limit (30%).</w:t>
      </w:r>
    </w:p>
    <w:p w14:paraId="5B4951FB" w14:textId="77777777" w:rsidR="0069238D" w:rsidRPr="0014526F" w:rsidRDefault="00000000">
      <w:pPr>
        <w:pStyle w:val="Titre2"/>
        <w:rPr>
          <w:lang w:val="en-US"/>
        </w:rPr>
      </w:pPr>
      <w:proofErr w:type="gramStart"/>
      <w:r w:rsidRPr="0014526F">
        <w:rPr>
          <w:lang w:val="en-US"/>
        </w:rPr>
        <w:t>5.2  Weekly</w:t>
      </w:r>
      <w:proofErr w:type="gramEnd"/>
      <w:r w:rsidRPr="0014526F">
        <w:rPr>
          <w:lang w:val="en-US"/>
        </w:rPr>
        <w:t xml:space="preserve"> Energy Balance</w:t>
      </w:r>
    </w:p>
    <w:p w14:paraId="26DAFF99" w14:textId="77777777" w:rsidR="0069238D" w:rsidRPr="0014526F" w:rsidRDefault="00000000">
      <w:pPr>
        <w:spacing w:before="80" w:after="80" w:line="276" w:lineRule="auto"/>
        <w:jc w:val="both"/>
        <w:rPr>
          <w:lang w:val="en-US"/>
        </w:rPr>
      </w:pPr>
      <w:r w:rsidRPr="0014526F">
        <w:rPr>
          <w:color w:val="444444"/>
          <w:lang w:val="en-US"/>
        </w:rPr>
        <w:t>Figure 4 shows the weekly energy balance during a representative week in October (transition season). PV generation covers between 83% and 97% of daily demand in Scenario S1, with diesel supplementing only on days with low irradiance (Monday and Wednesday). Total weekly PV generation reaches 98.7 kWh, compared to 85.5 kWh in Scenario S2 — a 15.4% improvement attributable to the adaptive MPPT tracking.</w:t>
      </w:r>
    </w:p>
    <w:p w14:paraId="3A8C5C43" w14:textId="77777777" w:rsidR="0069238D" w:rsidRPr="0014526F" w:rsidRDefault="0069238D">
      <w:pPr>
        <w:spacing w:before="60" w:after="40"/>
        <w:rPr>
          <w:lang w:val="en-US"/>
        </w:rPr>
      </w:pPr>
    </w:p>
    <w:p w14:paraId="35BC3B5A" w14:textId="77777777" w:rsidR="0069238D" w:rsidRDefault="00000000">
      <w:pPr>
        <w:spacing w:before="80" w:after="40"/>
        <w:jc w:val="center"/>
      </w:pPr>
      <w:r>
        <w:rPr>
          <w:noProof/>
        </w:rPr>
        <w:drawing>
          <wp:inline distT="0" distB="0" distL="0" distR="0" wp14:anchorId="06A8E73D" wp14:editId="18BBB0A8">
            <wp:extent cx="5524500" cy="2209800"/>
            <wp:effectExtent l="0" t="0" r="0" b="0"/>
            <wp:docPr id="2027592598" name="Image 2027592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524500" cy="2209800"/>
                    </a:xfrm>
                    <a:prstGeom prst="rect">
                      <a:avLst/>
                    </a:prstGeom>
                  </pic:spPr>
                </pic:pic>
              </a:graphicData>
            </a:graphic>
          </wp:inline>
        </w:drawing>
      </w:r>
    </w:p>
    <w:p w14:paraId="113DAA57" w14:textId="77777777" w:rsidR="0069238D" w:rsidRPr="0014526F" w:rsidRDefault="00000000">
      <w:pPr>
        <w:spacing w:before="60" w:after="120"/>
        <w:jc w:val="center"/>
        <w:rPr>
          <w:lang w:val="en-US"/>
        </w:rPr>
      </w:pPr>
      <w:r w:rsidRPr="0014526F">
        <w:rPr>
          <w:rFonts w:ascii="Calibri" w:eastAsia="Calibri" w:hAnsi="Calibri" w:cs="Calibri"/>
          <w:color w:val="444444"/>
          <w:sz w:val="20"/>
          <w:szCs w:val="20"/>
          <w:lang w:val="en-US"/>
        </w:rPr>
        <w:t>Figure 4 — Weekly energy balance for Scenario S1 (Hybrid MPPT). Stacked bars show PV generation and diesel supplement; the line indicates total load.</w:t>
      </w:r>
    </w:p>
    <w:p w14:paraId="05BC7964" w14:textId="77777777" w:rsidR="0069238D" w:rsidRPr="0014526F" w:rsidRDefault="0069238D">
      <w:pPr>
        <w:spacing w:before="80" w:after="40"/>
        <w:rPr>
          <w:lang w:val="en-US"/>
        </w:rPr>
      </w:pPr>
    </w:p>
    <w:p w14:paraId="2A89A422" w14:textId="77777777" w:rsidR="0069238D" w:rsidRPr="0014526F" w:rsidRDefault="00000000">
      <w:pPr>
        <w:pStyle w:val="Titre2"/>
        <w:rPr>
          <w:lang w:val="en-US"/>
        </w:rPr>
      </w:pPr>
      <w:proofErr w:type="gramStart"/>
      <w:r w:rsidRPr="0014526F">
        <w:rPr>
          <w:lang w:val="en-US"/>
        </w:rPr>
        <w:t>5.3  MPPT</w:t>
      </w:r>
      <w:proofErr w:type="gramEnd"/>
      <w:r w:rsidRPr="0014526F">
        <w:rPr>
          <w:lang w:val="en-US"/>
        </w:rPr>
        <w:t xml:space="preserve"> Tracking Efficiency vs. Temperature</w:t>
      </w:r>
    </w:p>
    <w:p w14:paraId="7D6A65AB" w14:textId="77777777" w:rsidR="0069238D" w:rsidRPr="0014526F" w:rsidRDefault="00000000">
      <w:pPr>
        <w:spacing w:before="80" w:after="80" w:line="276" w:lineRule="auto"/>
        <w:jc w:val="both"/>
        <w:rPr>
          <w:lang w:val="en-US"/>
        </w:rPr>
      </w:pPr>
      <w:r w:rsidRPr="0014526F">
        <w:rPr>
          <w:color w:val="444444"/>
          <w:lang w:val="en-US"/>
        </w:rPr>
        <w:t>Figure 6 illustrates the MPPT tracking efficiency as a function of module temperature for the three control strategies. The proposed adaptive MPPT maintains above 95% efficiency across the full operating range (15–60°C), including at the typical tropical peak temperature of 45°C where it achieves 96.6% efficiency, compared to 90.6% for the classical P&amp;O and 82.4% for the fixed duty-cycle controller. This robustness to temperature is the primary driver of the system's superior annual energy yield.</w:t>
      </w:r>
    </w:p>
    <w:p w14:paraId="75CB4F99" w14:textId="77777777" w:rsidR="0069238D" w:rsidRPr="0014526F" w:rsidRDefault="0069238D">
      <w:pPr>
        <w:spacing w:before="60" w:after="40"/>
        <w:rPr>
          <w:lang w:val="en-US"/>
        </w:rPr>
      </w:pPr>
    </w:p>
    <w:p w14:paraId="13B991CD" w14:textId="77777777" w:rsidR="0069238D" w:rsidRDefault="00000000">
      <w:pPr>
        <w:spacing w:before="80" w:after="40"/>
        <w:jc w:val="center"/>
      </w:pPr>
      <w:r>
        <w:rPr>
          <w:noProof/>
        </w:rPr>
        <w:drawing>
          <wp:inline distT="0" distB="0" distL="0" distR="0" wp14:anchorId="7374D7EC" wp14:editId="648C7018">
            <wp:extent cx="5524500" cy="2209800"/>
            <wp:effectExtent l="0" t="0" r="0" b="0"/>
            <wp:docPr id="509293614" name="Image 509293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524500" cy="2209800"/>
                    </a:xfrm>
                    <a:prstGeom prst="rect">
                      <a:avLst/>
                    </a:prstGeom>
                  </pic:spPr>
                </pic:pic>
              </a:graphicData>
            </a:graphic>
          </wp:inline>
        </w:drawing>
      </w:r>
    </w:p>
    <w:p w14:paraId="511B2AA1" w14:textId="77777777" w:rsidR="0069238D" w:rsidRPr="0014526F" w:rsidRDefault="00000000">
      <w:pPr>
        <w:spacing w:before="60" w:after="120"/>
        <w:jc w:val="center"/>
        <w:rPr>
          <w:lang w:val="en-US"/>
        </w:rPr>
      </w:pPr>
      <w:r w:rsidRPr="0014526F">
        <w:rPr>
          <w:rFonts w:ascii="Calibri" w:eastAsia="Calibri" w:hAnsi="Calibri" w:cs="Calibri"/>
          <w:color w:val="444444"/>
          <w:sz w:val="20"/>
          <w:szCs w:val="20"/>
          <w:lang w:val="en-US"/>
        </w:rPr>
        <w:t>Figure 6 — MPPT tracking efficiency as a function of module temperature for the three control strategies. The shaded area highlights the performance gain of the proposed method over classical P&amp;O.</w:t>
      </w:r>
    </w:p>
    <w:p w14:paraId="1A3F556E" w14:textId="77777777" w:rsidR="0069238D" w:rsidRPr="0014526F" w:rsidRDefault="0069238D">
      <w:pPr>
        <w:spacing w:before="80" w:after="40"/>
        <w:rPr>
          <w:lang w:val="en-US"/>
        </w:rPr>
      </w:pPr>
    </w:p>
    <w:p w14:paraId="0ABD28DE" w14:textId="77777777" w:rsidR="0069238D" w:rsidRPr="0014526F" w:rsidRDefault="00000000">
      <w:pPr>
        <w:pStyle w:val="Titre2"/>
        <w:rPr>
          <w:lang w:val="en-US"/>
        </w:rPr>
      </w:pPr>
      <w:proofErr w:type="gramStart"/>
      <w:r w:rsidRPr="0014526F">
        <w:rPr>
          <w:lang w:val="en-US"/>
        </w:rPr>
        <w:t>5.4  Economic</w:t>
      </w:r>
      <w:proofErr w:type="gramEnd"/>
      <w:r w:rsidRPr="0014526F">
        <w:rPr>
          <w:lang w:val="en-US"/>
        </w:rPr>
        <w:t xml:space="preserve"> Comparison</w:t>
      </w:r>
    </w:p>
    <w:p w14:paraId="15D58034" w14:textId="77777777" w:rsidR="0069238D" w:rsidRPr="0014526F" w:rsidRDefault="00000000">
      <w:pPr>
        <w:spacing w:before="80" w:after="80" w:line="276" w:lineRule="auto"/>
        <w:jc w:val="both"/>
        <w:rPr>
          <w:lang w:val="en-US"/>
        </w:rPr>
      </w:pPr>
      <w:r w:rsidRPr="0014526F">
        <w:rPr>
          <w:color w:val="444444"/>
          <w:lang w:val="en-US"/>
        </w:rPr>
        <w:t>Figure 5 presents the LCOE for all three scenarios benchmarked against a diesel-only system and a hypothetical grid extension. Scenario S1 achieves a LCOE of USD 0.17/kWh, representing a 67% reduction compared to the diesel-only baseline (USD 0.52/kWh) and an 18% improvement over the fixed duty-cycle Scenario S2 (USD 0.22/kWh). The simple payback period of Scenario S1 is estimated at 6.8 years.</w:t>
      </w:r>
    </w:p>
    <w:p w14:paraId="3AA3FD2B" w14:textId="77777777" w:rsidR="0069238D" w:rsidRPr="0014526F" w:rsidRDefault="0069238D">
      <w:pPr>
        <w:spacing w:before="60" w:after="40"/>
        <w:rPr>
          <w:lang w:val="en-US"/>
        </w:rPr>
      </w:pPr>
    </w:p>
    <w:p w14:paraId="40342FE4" w14:textId="77777777" w:rsidR="0069238D" w:rsidRDefault="00000000">
      <w:pPr>
        <w:spacing w:before="80" w:after="40"/>
        <w:jc w:val="center"/>
      </w:pPr>
      <w:r>
        <w:rPr>
          <w:noProof/>
        </w:rPr>
        <w:drawing>
          <wp:inline distT="0" distB="0" distL="0" distR="0" wp14:anchorId="7AB53031" wp14:editId="1406C216">
            <wp:extent cx="5524500" cy="2209800"/>
            <wp:effectExtent l="0" t="0" r="0" b="0"/>
            <wp:docPr id="695224526" name="Image 69522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24500" cy="2209800"/>
                    </a:xfrm>
                    <a:prstGeom prst="rect">
                      <a:avLst/>
                    </a:prstGeom>
                  </pic:spPr>
                </pic:pic>
              </a:graphicData>
            </a:graphic>
          </wp:inline>
        </w:drawing>
      </w:r>
    </w:p>
    <w:p w14:paraId="2D1E0C6E" w14:textId="77777777" w:rsidR="0069238D" w:rsidRPr="0014526F" w:rsidRDefault="00000000">
      <w:pPr>
        <w:spacing w:before="60" w:after="120"/>
        <w:jc w:val="center"/>
        <w:rPr>
          <w:lang w:val="en-US"/>
        </w:rPr>
      </w:pPr>
      <w:r w:rsidRPr="0014526F">
        <w:rPr>
          <w:rFonts w:ascii="Calibri" w:eastAsia="Calibri" w:hAnsi="Calibri" w:cs="Calibri"/>
          <w:color w:val="444444"/>
          <w:sz w:val="20"/>
          <w:szCs w:val="20"/>
          <w:lang w:val="en-US"/>
        </w:rPr>
        <w:t xml:space="preserve">Figure 5 — </w:t>
      </w:r>
      <w:proofErr w:type="spellStart"/>
      <w:r w:rsidRPr="0014526F">
        <w:rPr>
          <w:rFonts w:ascii="Calibri" w:eastAsia="Calibri" w:hAnsi="Calibri" w:cs="Calibri"/>
          <w:color w:val="444444"/>
          <w:sz w:val="20"/>
          <w:szCs w:val="20"/>
          <w:lang w:val="en-US"/>
        </w:rPr>
        <w:t>Levelised</w:t>
      </w:r>
      <w:proofErr w:type="spellEnd"/>
      <w:r w:rsidRPr="0014526F">
        <w:rPr>
          <w:rFonts w:ascii="Calibri" w:eastAsia="Calibri" w:hAnsi="Calibri" w:cs="Calibri"/>
          <w:color w:val="444444"/>
          <w:sz w:val="20"/>
          <w:szCs w:val="20"/>
          <w:lang w:val="en-US"/>
        </w:rPr>
        <w:t xml:space="preserve"> Cost of Energy (LCOE) comparison across all scenarios and benchmarks. The dashed grey line indicates the grid-extension reference cost.</w:t>
      </w:r>
    </w:p>
    <w:p w14:paraId="74CFA030" w14:textId="77777777" w:rsidR="0069238D" w:rsidRPr="0014526F" w:rsidRDefault="0069238D">
      <w:pPr>
        <w:spacing w:before="80" w:after="40"/>
        <w:rPr>
          <w:lang w:val="en-US"/>
        </w:rPr>
      </w:pPr>
    </w:p>
    <w:p w14:paraId="5C415589" w14:textId="77777777" w:rsidR="0069238D" w:rsidRPr="0014526F" w:rsidRDefault="00000000">
      <w:pPr>
        <w:spacing w:before="80" w:after="80" w:line="276" w:lineRule="auto"/>
        <w:jc w:val="both"/>
        <w:rPr>
          <w:lang w:val="en-US"/>
        </w:rPr>
      </w:pPr>
      <w:r w:rsidRPr="0014526F">
        <w:rPr>
          <w:color w:val="444444"/>
          <w:lang w:val="en-US"/>
        </w:rPr>
        <w:t>Table 2 provides a comprehensive comparison of all key performance indicators across the three scenarios.</w:t>
      </w:r>
    </w:p>
    <w:p w14:paraId="517B4B99" w14:textId="77777777" w:rsidR="0069238D" w:rsidRPr="0014526F" w:rsidRDefault="0069238D">
      <w:pPr>
        <w:spacing w:before="40" w:after="60"/>
        <w:rPr>
          <w:lang w:val="en-US"/>
        </w:rPr>
      </w:pPr>
    </w:p>
    <w:p w14:paraId="02101CD4" w14:textId="77777777" w:rsidR="0069238D" w:rsidRPr="0014526F" w:rsidRDefault="00000000">
      <w:pPr>
        <w:spacing w:before="60" w:after="120"/>
        <w:jc w:val="center"/>
        <w:rPr>
          <w:lang w:val="en-US"/>
        </w:rPr>
      </w:pPr>
      <w:r w:rsidRPr="0014526F">
        <w:rPr>
          <w:rFonts w:ascii="Calibri" w:eastAsia="Calibri" w:hAnsi="Calibri" w:cs="Calibri"/>
          <w:color w:val="444444"/>
          <w:sz w:val="20"/>
          <w:szCs w:val="20"/>
          <w:lang w:val="en-US"/>
        </w:rPr>
        <w:t>Table 2 — Annual performance comparison across simulation scenarios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56"/>
        <w:gridCol w:w="2090"/>
        <w:gridCol w:w="2090"/>
        <w:gridCol w:w="2090"/>
      </w:tblGrid>
      <w:tr w:rsidR="0069238D" w14:paraId="22381831" w14:textId="77777777">
        <w:tblPrEx>
          <w:tblCellMar>
            <w:top w:w="0" w:type="dxa"/>
            <w:bottom w:w="0" w:type="dxa"/>
          </w:tblCellMar>
        </w:tblPrEx>
        <w:tc>
          <w:tcPr>
            <w:tcW w:w="2756" w:type="dxa"/>
            <w:tcBorders>
              <w:top w:val="single" w:sz="2" w:space="0" w:color="003366"/>
              <w:left w:val="single" w:sz="2" w:space="0" w:color="003366"/>
              <w:bottom w:val="single" w:sz="2" w:space="0" w:color="003366"/>
              <w:right w:val="single" w:sz="2" w:space="0" w:color="003366"/>
            </w:tcBorders>
            <w:shd w:val="clear" w:color="auto" w:fill="003366"/>
            <w:tcMar>
              <w:top w:w="80" w:type="dxa"/>
              <w:left w:w="120" w:type="dxa"/>
              <w:bottom w:w="80" w:type="dxa"/>
              <w:right w:w="80" w:type="dxa"/>
            </w:tcMar>
          </w:tcPr>
          <w:p w14:paraId="3F2EA83D" w14:textId="77777777" w:rsidR="0069238D" w:rsidRDefault="00000000">
            <w:pPr>
              <w:jc w:val="center"/>
            </w:pPr>
            <w:r>
              <w:rPr>
                <w:rFonts w:ascii="Calibri" w:eastAsia="Calibri" w:hAnsi="Calibri" w:cs="Calibri"/>
                <w:b/>
                <w:bCs/>
                <w:color w:val="FFFFFF"/>
                <w:sz w:val="17"/>
                <w:szCs w:val="17"/>
              </w:rPr>
              <w:t>Performance Indicator</w:t>
            </w:r>
          </w:p>
        </w:tc>
        <w:tc>
          <w:tcPr>
            <w:tcW w:w="2090" w:type="dxa"/>
            <w:tcBorders>
              <w:top w:val="single" w:sz="2" w:space="0" w:color="003366"/>
              <w:left w:val="single" w:sz="2" w:space="0" w:color="003366"/>
              <w:bottom w:val="single" w:sz="2" w:space="0" w:color="003366"/>
              <w:right w:val="single" w:sz="2" w:space="0" w:color="003366"/>
            </w:tcBorders>
            <w:shd w:val="clear" w:color="auto" w:fill="003366"/>
            <w:tcMar>
              <w:top w:w="80" w:type="dxa"/>
              <w:left w:w="120" w:type="dxa"/>
              <w:bottom w:w="80" w:type="dxa"/>
              <w:right w:w="80" w:type="dxa"/>
            </w:tcMar>
          </w:tcPr>
          <w:p w14:paraId="7BF900FA" w14:textId="77777777" w:rsidR="0069238D" w:rsidRDefault="00000000">
            <w:pPr>
              <w:jc w:val="center"/>
            </w:pPr>
            <w:r>
              <w:rPr>
                <w:rFonts w:ascii="Calibri" w:eastAsia="Calibri" w:hAnsi="Calibri" w:cs="Calibri"/>
                <w:b/>
                <w:bCs/>
                <w:color w:val="FFFFFF"/>
                <w:sz w:val="17"/>
                <w:szCs w:val="17"/>
              </w:rPr>
              <w:t xml:space="preserve">S1 — </w:t>
            </w:r>
            <w:proofErr w:type="spellStart"/>
            <w:r>
              <w:rPr>
                <w:rFonts w:ascii="Calibri" w:eastAsia="Calibri" w:hAnsi="Calibri" w:cs="Calibri"/>
                <w:b/>
                <w:bCs/>
                <w:color w:val="FFFFFF"/>
                <w:sz w:val="17"/>
                <w:szCs w:val="17"/>
              </w:rPr>
              <w:t>Proposed</w:t>
            </w:r>
            <w:proofErr w:type="spellEnd"/>
            <w:r>
              <w:rPr>
                <w:rFonts w:ascii="Calibri" w:eastAsia="Calibri" w:hAnsi="Calibri" w:cs="Calibri"/>
                <w:b/>
                <w:bCs/>
                <w:color w:val="FFFFFF"/>
                <w:sz w:val="17"/>
                <w:szCs w:val="17"/>
              </w:rPr>
              <w:t xml:space="preserve"> </w:t>
            </w:r>
            <w:proofErr w:type="spellStart"/>
            <w:r>
              <w:rPr>
                <w:rFonts w:ascii="Calibri" w:eastAsia="Calibri" w:hAnsi="Calibri" w:cs="Calibri"/>
                <w:b/>
                <w:bCs/>
                <w:color w:val="FFFFFF"/>
                <w:sz w:val="17"/>
                <w:szCs w:val="17"/>
              </w:rPr>
              <w:t>Hybrid</w:t>
            </w:r>
            <w:proofErr w:type="spellEnd"/>
            <w:r>
              <w:rPr>
                <w:rFonts w:ascii="Calibri" w:eastAsia="Calibri" w:hAnsi="Calibri" w:cs="Calibri"/>
                <w:b/>
                <w:bCs/>
                <w:color w:val="FFFFFF"/>
                <w:sz w:val="17"/>
                <w:szCs w:val="17"/>
              </w:rPr>
              <w:t xml:space="preserve"> MPPT</w:t>
            </w:r>
          </w:p>
        </w:tc>
        <w:tc>
          <w:tcPr>
            <w:tcW w:w="2090" w:type="dxa"/>
            <w:tcBorders>
              <w:top w:val="single" w:sz="2" w:space="0" w:color="003366"/>
              <w:left w:val="single" w:sz="2" w:space="0" w:color="003366"/>
              <w:bottom w:val="single" w:sz="2" w:space="0" w:color="003366"/>
              <w:right w:val="single" w:sz="2" w:space="0" w:color="003366"/>
            </w:tcBorders>
            <w:shd w:val="clear" w:color="auto" w:fill="003366"/>
            <w:tcMar>
              <w:top w:w="80" w:type="dxa"/>
              <w:left w:w="120" w:type="dxa"/>
              <w:bottom w:w="80" w:type="dxa"/>
              <w:right w:w="80" w:type="dxa"/>
            </w:tcMar>
          </w:tcPr>
          <w:p w14:paraId="1AA77F58" w14:textId="77777777" w:rsidR="0069238D" w:rsidRDefault="00000000">
            <w:pPr>
              <w:jc w:val="center"/>
            </w:pPr>
            <w:r>
              <w:rPr>
                <w:rFonts w:ascii="Calibri" w:eastAsia="Calibri" w:hAnsi="Calibri" w:cs="Calibri"/>
                <w:b/>
                <w:bCs/>
                <w:color w:val="FFFFFF"/>
                <w:sz w:val="17"/>
                <w:szCs w:val="17"/>
              </w:rPr>
              <w:t xml:space="preserve">S2 — </w:t>
            </w:r>
            <w:proofErr w:type="spellStart"/>
            <w:r>
              <w:rPr>
                <w:rFonts w:ascii="Calibri" w:eastAsia="Calibri" w:hAnsi="Calibri" w:cs="Calibri"/>
                <w:b/>
                <w:bCs/>
                <w:color w:val="FFFFFF"/>
                <w:sz w:val="17"/>
                <w:szCs w:val="17"/>
              </w:rPr>
              <w:t>Fixed</w:t>
            </w:r>
            <w:proofErr w:type="spellEnd"/>
            <w:r>
              <w:rPr>
                <w:rFonts w:ascii="Calibri" w:eastAsia="Calibri" w:hAnsi="Calibri" w:cs="Calibri"/>
                <w:b/>
                <w:bCs/>
                <w:color w:val="FFFFFF"/>
                <w:sz w:val="17"/>
                <w:szCs w:val="17"/>
              </w:rPr>
              <w:t xml:space="preserve"> Duty-Cycle</w:t>
            </w:r>
          </w:p>
        </w:tc>
        <w:tc>
          <w:tcPr>
            <w:tcW w:w="2090" w:type="dxa"/>
            <w:tcBorders>
              <w:top w:val="single" w:sz="2" w:space="0" w:color="003366"/>
              <w:left w:val="single" w:sz="2" w:space="0" w:color="003366"/>
              <w:bottom w:val="single" w:sz="2" w:space="0" w:color="003366"/>
              <w:right w:val="single" w:sz="2" w:space="0" w:color="003366"/>
            </w:tcBorders>
            <w:shd w:val="clear" w:color="auto" w:fill="003366"/>
            <w:tcMar>
              <w:top w:w="80" w:type="dxa"/>
              <w:left w:w="120" w:type="dxa"/>
              <w:bottom w:w="80" w:type="dxa"/>
              <w:right w:w="80" w:type="dxa"/>
            </w:tcMar>
          </w:tcPr>
          <w:p w14:paraId="26CD04A6" w14:textId="77777777" w:rsidR="0069238D" w:rsidRDefault="00000000">
            <w:pPr>
              <w:jc w:val="center"/>
            </w:pPr>
            <w:r>
              <w:rPr>
                <w:rFonts w:ascii="Calibri" w:eastAsia="Calibri" w:hAnsi="Calibri" w:cs="Calibri"/>
                <w:b/>
                <w:bCs/>
                <w:color w:val="FFFFFF"/>
                <w:sz w:val="17"/>
                <w:szCs w:val="17"/>
              </w:rPr>
              <w:t xml:space="preserve">S3 — </w:t>
            </w:r>
            <w:proofErr w:type="spellStart"/>
            <w:r>
              <w:rPr>
                <w:rFonts w:ascii="Calibri" w:eastAsia="Calibri" w:hAnsi="Calibri" w:cs="Calibri"/>
                <w:b/>
                <w:bCs/>
                <w:color w:val="FFFFFF"/>
                <w:sz w:val="17"/>
                <w:szCs w:val="17"/>
              </w:rPr>
              <w:t>Generator</w:t>
            </w:r>
            <w:proofErr w:type="spellEnd"/>
            <w:r>
              <w:rPr>
                <w:rFonts w:ascii="Calibri" w:eastAsia="Calibri" w:hAnsi="Calibri" w:cs="Calibri"/>
                <w:b/>
                <w:bCs/>
                <w:color w:val="FFFFFF"/>
                <w:sz w:val="17"/>
                <w:szCs w:val="17"/>
              </w:rPr>
              <w:t xml:space="preserve"> Only</w:t>
            </w:r>
          </w:p>
        </w:tc>
      </w:tr>
      <w:tr w:rsidR="0069238D" w14:paraId="325D45AC" w14:textId="77777777">
        <w:tblPrEx>
          <w:tblCellMar>
            <w:top w:w="0" w:type="dxa"/>
            <w:bottom w:w="0" w:type="dxa"/>
          </w:tblCellMar>
        </w:tblPrEx>
        <w:tc>
          <w:tcPr>
            <w:tcW w:w="27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5D04D901" w14:textId="77777777" w:rsidR="0069238D" w:rsidRPr="0014526F" w:rsidRDefault="00000000">
            <w:pPr>
              <w:rPr>
                <w:lang w:val="en-US"/>
              </w:rPr>
            </w:pPr>
            <w:r w:rsidRPr="0014526F">
              <w:rPr>
                <w:rFonts w:ascii="Calibri" w:eastAsia="Calibri" w:hAnsi="Calibri" w:cs="Calibri"/>
                <w:b/>
                <w:bCs/>
                <w:color w:val="003366"/>
                <w:sz w:val="18"/>
                <w:szCs w:val="18"/>
                <w:lang w:val="en-US"/>
              </w:rPr>
              <w:t>Annual PV yield (kWh/year)</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1E05E6F6" w14:textId="77777777" w:rsidR="0069238D" w:rsidRDefault="00000000">
            <w:pPr>
              <w:jc w:val="center"/>
            </w:pPr>
            <w:r>
              <w:rPr>
                <w:rFonts w:ascii="Calibri" w:eastAsia="Calibri" w:hAnsi="Calibri" w:cs="Calibri"/>
                <w:color w:val="007B7F"/>
                <w:sz w:val="18"/>
                <w:szCs w:val="18"/>
              </w:rPr>
              <w:t>4 862</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637A3EE9" w14:textId="77777777" w:rsidR="0069238D" w:rsidRDefault="00000000">
            <w:pPr>
              <w:jc w:val="center"/>
            </w:pPr>
            <w:r>
              <w:rPr>
                <w:rFonts w:ascii="Calibri" w:eastAsia="Calibri" w:hAnsi="Calibri" w:cs="Calibri"/>
                <w:color w:val="444444"/>
                <w:sz w:val="18"/>
                <w:szCs w:val="18"/>
              </w:rPr>
              <w:t>4 214</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63CC5ECA" w14:textId="77777777" w:rsidR="0069238D" w:rsidRDefault="00000000">
            <w:pPr>
              <w:jc w:val="center"/>
            </w:pPr>
            <w:r>
              <w:rPr>
                <w:rFonts w:ascii="Calibri" w:eastAsia="Calibri" w:hAnsi="Calibri" w:cs="Calibri"/>
                <w:color w:val="444444"/>
                <w:sz w:val="18"/>
                <w:szCs w:val="18"/>
              </w:rPr>
              <w:t>—</w:t>
            </w:r>
          </w:p>
        </w:tc>
      </w:tr>
      <w:tr w:rsidR="0069238D" w14:paraId="34AE784A" w14:textId="77777777">
        <w:tblPrEx>
          <w:tblCellMar>
            <w:top w:w="0" w:type="dxa"/>
            <w:bottom w:w="0" w:type="dxa"/>
          </w:tblCellMar>
        </w:tblPrEx>
        <w:tc>
          <w:tcPr>
            <w:tcW w:w="2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3F46AC9A" w14:textId="77777777" w:rsidR="0069238D" w:rsidRDefault="00000000">
            <w:r>
              <w:rPr>
                <w:rFonts w:ascii="Calibri" w:eastAsia="Calibri" w:hAnsi="Calibri" w:cs="Calibri"/>
                <w:b/>
                <w:bCs/>
                <w:color w:val="003366"/>
                <w:sz w:val="18"/>
                <w:szCs w:val="18"/>
              </w:rPr>
              <w:t>PV self-</w:t>
            </w:r>
            <w:proofErr w:type="spellStart"/>
            <w:r>
              <w:rPr>
                <w:rFonts w:ascii="Calibri" w:eastAsia="Calibri" w:hAnsi="Calibri" w:cs="Calibri"/>
                <w:b/>
                <w:bCs/>
                <w:color w:val="003366"/>
                <w:sz w:val="18"/>
                <w:szCs w:val="18"/>
              </w:rPr>
              <w:t>consumption</w:t>
            </w:r>
            <w:proofErr w:type="spellEnd"/>
            <w:r>
              <w:rPr>
                <w:rFonts w:ascii="Calibri" w:eastAsia="Calibri" w:hAnsi="Calibri" w:cs="Calibri"/>
                <w:b/>
                <w:bCs/>
                <w:color w:val="003366"/>
                <w:sz w:val="18"/>
                <w:szCs w:val="18"/>
              </w:rPr>
              <w:t xml:space="preserve"> rate (%)</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155876FA" w14:textId="77777777" w:rsidR="0069238D" w:rsidRDefault="00000000">
            <w:pPr>
              <w:jc w:val="center"/>
            </w:pPr>
            <w:r>
              <w:rPr>
                <w:rFonts w:ascii="Calibri" w:eastAsia="Calibri" w:hAnsi="Calibri" w:cs="Calibri"/>
                <w:color w:val="007B7F"/>
                <w:sz w:val="18"/>
                <w:szCs w:val="18"/>
              </w:rPr>
              <w:t>87.4</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7DD8FEED" w14:textId="77777777" w:rsidR="0069238D" w:rsidRDefault="00000000">
            <w:pPr>
              <w:jc w:val="center"/>
            </w:pPr>
            <w:r>
              <w:rPr>
                <w:rFonts w:ascii="Calibri" w:eastAsia="Calibri" w:hAnsi="Calibri" w:cs="Calibri"/>
                <w:color w:val="444444"/>
                <w:sz w:val="18"/>
                <w:szCs w:val="18"/>
              </w:rPr>
              <w:t>74.2</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08B8CD73" w14:textId="77777777" w:rsidR="0069238D" w:rsidRDefault="00000000">
            <w:pPr>
              <w:jc w:val="center"/>
            </w:pPr>
            <w:r>
              <w:rPr>
                <w:rFonts w:ascii="Calibri" w:eastAsia="Calibri" w:hAnsi="Calibri" w:cs="Calibri"/>
                <w:color w:val="444444"/>
                <w:sz w:val="18"/>
                <w:szCs w:val="18"/>
              </w:rPr>
              <w:t>—</w:t>
            </w:r>
          </w:p>
        </w:tc>
      </w:tr>
      <w:tr w:rsidR="0069238D" w14:paraId="1A0C2329" w14:textId="77777777">
        <w:tblPrEx>
          <w:tblCellMar>
            <w:top w:w="0" w:type="dxa"/>
            <w:bottom w:w="0" w:type="dxa"/>
          </w:tblCellMar>
        </w:tblPrEx>
        <w:tc>
          <w:tcPr>
            <w:tcW w:w="27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24497B9D" w14:textId="77777777" w:rsidR="0069238D" w:rsidRDefault="00000000">
            <w:r>
              <w:rPr>
                <w:rFonts w:ascii="Calibri" w:eastAsia="Calibri" w:hAnsi="Calibri" w:cs="Calibri"/>
                <w:b/>
                <w:bCs/>
                <w:color w:val="003366"/>
                <w:sz w:val="18"/>
                <w:szCs w:val="18"/>
              </w:rPr>
              <w:t xml:space="preserve">Battery round-trip </w:t>
            </w:r>
            <w:proofErr w:type="spellStart"/>
            <w:r>
              <w:rPr>
                <w:rFonts w:ascii="Calibri" w:eastAsia="Calibri" w:hAnsi="Calibri" w:cs="Calibri"/>
                <w:b/>
                <w:bCs/>
                <w:color w:val="003366"/>
                <w:sz w:val="18"/>
                <w:szCs w:val="18"/>
              </w:rPr>
              <w:t>efficiency</w:t>
            </w:r>
            <w:proofErr w:type="spellEnd"/>
            <w:r>
              <w:rPr>
                <w:rFonts w:ascii="Calibri" w:eastAsia="Calibri" w:hAnsi="Calibri" w:cs="Calibri"/>
                <w:b/>
                <w:bCs/>
                <w:color w:val="003366"/>
                <w:sz w:val="18"/>
                <w:szCs w:val="18"/>
              </w:rPr>
              <w:t xml:space="preserve"> (%)</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3217E983" w14:textId="77777777" w:rsidR="0069238D" w:rsidRDefault="00000000">
            <w:pPr>
              <w:jc w:val="center"/>
            </w:pPr>
            <w:r>
              <w:rPr>
                <w:rFonts w:ascii="Calibri" w:eastAsia="Calibri" w:hAnsi="Calibri" w:cs="Calibri"/>
                <w:color w:val="007B7F"/>
                <w:sz w:val="18"/>
                <w:szCs w:val="18"/>
              </w:rPr>
              <w:t>91.3</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5A661843" w14:textId="77777777" w:rsidR="0069238D" w:rsidRDefault="00000000">
            <w:pPr>
              <w:jc w:val="center"/>
            </w:pPr>
            <w:r>
              <w:rPr>
                <w:rFonts w:ascii="Calibri" w:eastAsia="Calibri" w:hAnsi="Calibri" w:cs="Calibri"/>
                <w:color w:val="444444"/>
                <w:sz w:val="18"/>
                <w:szCs w:val="18"/>
              </w:rPr>
              <w:t>85.7</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19BD9BBB" w14:textId="77777777" w:rsidR="0069238D" w:rsidRDefault="00000000">
            <w:pPr>
              <w:jc w:val="center"/>
            </w:pPr>
            <w:r>
              <w:rPr>
                <w:rFonts w:ascii="Calibri" w:eastAsia="Calibri" w:hAnsi="Calibri" w:cs="Calibri"/>
                <w:color w:val="444444"/>
                <w:sz w:val="18"/>
                <w:szCs w:val="18"/>
              </w:rPr>
              <w:t>—</w:t>
            </w:r>
          </w:p>
        </w:tc>
      </w:tr>
      <w:tr w:rsidR="0069238D" w14:paraId="27A627D0" w14:textId="77777777">
        <w:tblPrEx>
          <w:tblCellMar>
            <w:top w:w="0" w:type="dxa"/>
            <w:bottom w:w="0" w:type="dxa"/>
          </w:tblCellMar>
        </w:tblPrEx>
        <w:tc>
          <w:tcPr>
            <w:tcW w:w="2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5EADA7A5" w14:textId="77777777" w:rsidR="0069238D" w:rsidRDefault="00000000">
            <w:r>
              <w:rPr>
                <w:rFonts w:ascii="Calibri" w:eastAsia="Calibri" w:hAnsi="Calibri" w:cs="Calibri"/>
                <w:b/>
                <w:bCs/>
                <w:color w:val="003366"/>
                <w:sz w:val="18"/>
                <w:szCs w:val="18"/>
              </w:rPr>
              <w:t xml:space="preserve">Diesel </w:t>
            </w:r>
            <w:proofErr w:type="spellStart"/>
            <w:r>
              <w:rPr>
                <w:rFonts w:ascii="Calibri" w:eastAsia="Calibri" w:hAnsi="Calibri" w:cs="Calibri"/>
                <w:b/>
                <w:bCs/>
                <w:color w:val="003366"/>
                <w:sz w:val="18"/>
                <w:szCs w:val="18"/>
              </w:rPr>
              <w:t>consumption</w:t>
            </w:r>
            <w:proofErr w:type="spellEnd"/>
            <w:r>
              <w:rPr>
                <w:rFonts w:ascii="Calibri" w:eastAsia="Calibri" w:hAnsi="Calibri" w:cs="Calibri"/>
                <w:b/>
                <w:bCs/>
                <w:color w:val="003366"/>
                <w:sz w:val="18"/>
                <w:szCs w:val="18"/>
              </w:rPr>
              <w:t xml:space="preserve"> (L/</w:t>
            </w:r>
            <w:proofErr w:type="spellStart"/>
            <w:r>
              <w:rPr>
                <w:rFonts w:ascii="Calibri" w:eastAsia="Calibri" w:hAnsi="Calibri" w:cs="Calibri"/>
                <w:b/>
                <w:bCs/>
                <w:color w:val="003366"/>
                <w:sz w:val="18"/>
                <w:szCs w:val="18"/>
              </w:rPr>
              <w:t>year</w:t>
            </w:r>
            <w:proofErr w:type="spellEnd"/>
            <w:r>
              <w:rPr>
                <w:rFonts w:ascii="Calibri" w:eastAsia="Calibri" w:hAnsi="Calibri" w:cs="Calibri"/>
                <w:b/>
                <w:bCs/>
                <w:color w:val="003366"/>
                <w:sz w:val="18"/>
                <w:szCs w:val="18"/>
              </w:rPr>
              <w:t>)</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47055748" w14:textId="77777777" w:rsidR="0069238D" w:rsidRDefault="00000000">
            <w:pPr>
              <w:jc w:val="center"/>
            </w:pPr>
            <w:r>
              <w:rPr>
                <w:rFonts w:ascii="Calibri" w:eastAsia="Calibri" w:hAnsi="Calibri" w:cs="Calibri"/>
                <w:color w:val="007B7F"/>
                <w:sz w:val="18"/>
                <w:szCs w:val="18"/>
              </w:rPr>
              <w:t>312</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32F2460A" w14:textId="77777777" w:rsidR="0069238D" w:rsidRDefault="00000000">
            <w:pPr>
              <w:jc w:val="center"/>
            </w:pPr>
            <w:r>
              <w:rPr>
                <w:rFonts w:ascii="Calibri" w:eastAsia="Calibri" w:hAnsi="Calibri" w:cs="Calibri"/>
                <w:color w:val="444444"/>
                <w:sz w:val="18"/>
                <w:szCs w:val="18"/>
              </w:rPr>
              <w:t>689</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1375C228" w14:textId="77777777" w:rsidR="0069238D" w:rsidRDefault="00000000">
            <w:pPr>
              <w:jc w:val="center"/>
            </w:pPr>
            <w:r>
              <w:rPr>
                <w:rFonts w:ascii="Calibri" w:eastAsia="Calibri" w:hAnsi="Calibri" w:cs="Calibri"/>
                <w:color w:val="444444"/>
                <w:sz w:val="18"/>
                <w:szCs w:val="18"/>
              </w:rPr>
              <w:t>2 847</w:t>
            </w:r>
          </w:p>
        </w:tc>
      </w:tr>
      <w:tr w:rsidR="0069238D" w14:paraId="2F818819" w14:textId="77777777">
        <w:tblPrEx>
          <w:tblCellMar>
            <w:top w:w="0" w:type="dxa"/>
            <w:bottom w:w="0" w:type="dxa"/>
          </w:tblCellMar>
        </w:tblPrEx>
        <w:tc>
          <w:tcPr>
            <w:tcW w:w="27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2C5221A4" w14:textId="77777777" w:rsidR="0069238D" w:rsidRPr="0014526F" w:rsidRDefault="00000000">
            <w:pPr>
              <w:rPr>
                <w:lang w:val="en-US"/>
              </w:rPr>
            </w:pPr>
            <w:r w:rsidRPr="0014526F">
              <w:rPr>
                <w:rFonts w:ascii="Calibri" w:eastAsia="Calibri" w:hAnsi="Calibri" w:cs="Calibri"/>
                <w:b/>
                <w:bCs/>
                <w:color w:val="003366"/>
                <w:sz w:val="18"/>
                <w:szCs w:val="18"/>
                <w:lang w:val="en-US"/>
              </w:rPr>
              <w:t>CO₂ emissions saved (kg/year)</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65E16A91" w14:textId="77777777" w:rsidR="0069238D" w:rsidRDefault="00000000">
            <w:pPr>
              <w:jc w:val="center"/>
            </w:pPr>
            <w:r>
              <w:rPr>
                <w:rFonts w:ascii="Calibri" w:eastAsia="Calibri" w:hAnsi="Calibri" w:cs="Calibri"/>
                <w:color w:val="007B7F"/>
                <w:sz w:val="18"/>
                <w:szCs w:val="18"/>
              </w:rPr>
              <w:t>1 945</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13C21C4A" w14:textId="77777777" w:rsidR="0069238D" w:rsidRDefault="00000000">
            <w:pPr>
              <w:jc w:val="center"/>
            </w:pPr>
            <w:r>
              <w:rPr>
                <w:rFonts w:ascii="Calibri" w:eastAsia="Calibri" w:hAnsi="Calibri" w:cs="Calibri"/>
                <w:color w:val="444444"/>
                <w:sz w:val="18"/>
                <w:szCs w:val="18"/>
              </w:rPr>
              <w:t>1 230</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18C3EDAB" w14:textId="77777777" w:rsidR="0069238D" w:rsidRDefault="00000000">
            <w:pPr>
              <w:jc w:val="center"/>
            </w:pPr>
            <w:r>
              <w:rPr>
                <w:rFonts w:ascii="Calibri" w:eastAsia="Calibri" w:hAnsi="Calibri" w:cs="Calibri"/>
                <w:color w:val="444444"/>
                <w:sz w:val="18"/>
                <w:szCs w:val="18"/>
              </w:rPr>
              <w:t>0 (</w:t>
            </w:r>
            <w:proofErr w:type="spellStart"/>
            <w:r>
              <w:rPr>
                <w:rFonts w:ascii="Calibri" w:eastAsia="Calibri" w:hAnsi="Calibri" w:cs="Calibri"/>
                <w:color w:val="444444"/>
                <w:sz w:val="18"/>
                <w:szCs w:val="18"/>
              </w:rPr>
              <w:t>ref</w:t>
            </w:r>
            <w:proofErr w:type="spellEnd"/>
            <w:r>
              <w:rPr>
                <w:rFonts w:ascii="Calibri" w:eastAsia="Calibri" w:hAnsi="Calibri" w:cs="Calibri"/>
                <w:color w:val="444444"/>
                <w:sz w:val="18"/>
                <w:szCs w:val="18"/>
              </w:rPr>
              <w:t>)</w:t>
            </w:r>
          </w:p>
        </w:tc>
      </w:tr>
      <w:tr w:rsidR="0069238D" w14:paraId="5785C550" w14:textId="77777777">
        <w:tblPrEx>
          <w:tblCellMar>
            <w:top w:w="0" w:type="dxa"/>
            <w:bottom w:w="0" w:type="dxa"/>
          </w:tblCellMar>
        </w:tblPrEx>
        <w:tc>
          <w:tcPr>
            <w:tcW w:w="2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174EEBCB" w14:textId="77777777" w:rsidR="0069238D" w:rsidRDefault="00000000">
            <w:r>
              <w:rPr>
                <w:rFonts w:ascii="Calibri" w:eastAsia="Calibri" w:hAnsi="Calibri" w:cs="Calibri"/>
                <w:b/>
                <w:bCs/>
                <w:color w:val="003366"/>
                <w:sz w:val="18"/>
                <w:szCs w:val="18"/>
              </w:rPr>
              <w:t>LCOE (USD/kWh)</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49B893E0" w14:textId="77777777" w:rsidR="0069238D" w:rsidRDefault="00000000">
            <w:pPr>
              <w:jc w:val="center"/>
            </w:pPr>
            <w:r>
              <w:rPr>
                <w:rFonts w:ascii="Calibri" w:eastAsia="Calibri" w:hAnsi="Calibri" w:cs="Calibri"/>
                <w:color w:val="007B7F"/>
                <w:sz w:val="18"/>
                <w:szCs w:val="18"/>
              </w:rPr>
              <w:t>0.17</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490DDD01" w14:textId="77777777" w:rsidR="0069238D" w:rsidRDefault="00000000">
            <w:pPr>
              <w:jc w:val="center"/>
            </w:pPr>
            <w:r>
              <w:rPr>
                <w:rFonts w:ascii="Calibri" w:eastAsia="Calibri" w:hAnsi="Calibri" w:cs="Calibri"/>
                <w:color w:val="444444"/>
                <w:sz w:val="18"/>
                <w:szCs w:val="18"/>
              </w:rPr>
              <w:t>0.22</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33E44708" w14:textId="77777777" w:rsidR="0069238D" w:rsidRDefault="00000000">
            <w:pPr>
              <w:jc w:val="center"/>
            </w:pPr>
            <w:r>
              <w:rPr>
                <w:rFonts w:ascii="Calibri" w:eastAsia="Calibri" w:hAnsi="Calibri" w:cs="Calibri"/>
                <w:color w:val="444444"/>
                <w:sz w:val="18"/>
                <w:szCs w:val="18"/>
              </w:rPr>
              <w:t>0.52</w:t>
            </w:r>
          </w:p>
        </w:tc>
      </w:tr>
      <w:tr w:rsidR="0069238D" w14:paraId="3F42A9D8" w14:textId="77777777">
        <w:tblPrEx>
          <w:tblCellMar>
            <w:top w:w="0" w:type="dxa"/>
            <w:bottom w:w="0" w:type="dxa"/>
          </w:tblCellMar>
        </w:tblPrEx>
        <w:tc>
          <w:tcPr>
            <w:tcW w:w="2756"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41EF6BDF" w14:textId="77777777" w:rsidR="0069238D" w:rsidRDefault="00000000">
            <w:r>
              <w:rPr>
                <w:rFonts w:ascii="Calibri" w:eastAsia="Calibri" w:hAnsi="Calibri" w:cs="Calibri"/>
                <w:b/>
                <w:bCs/>
                <w:color w:val="003366"/>
                <w:sz w:val="18"/>
                <w:szCs w:val="18"/>
              </w:rPr>
              <w:t xml:space="preserve">System </w:t>
            </w:r>
            <w:proofErr w:type="spellStart"/>
            <w:r>
              <w:rPr>
                <w:rFonts w:ascii="Calibri" w:eastAsia="Calibri" w:hAnsi="Calibri" w:cs="Calibri"/>
                <w:b/>
                <w:bCs/>
                <w:color w:val="003366"/>
                <w:sz w:val="18"/>
                <w:szCs w:val="18"/>
              </w:rPr>
              <w:t>availability</w:t>
            </w:r>
            <w:proofErr w:type="spellEnd"/>
            <w:r>
              <w:rPr>
                <w:rFonts w:ascii="Calibri" w:eastAsia="Calibri" w:hAnsi="Calibri" w:cs="Calibri"/>
                <w:b/>
                <w:bCs/>
                <w:color w:val="003366"/>
                <w:sz w:val="18"/>
                <w:szCs w:val="18"/>
              </w:rPr>
              <w:t xml:space="preserve"> (%)</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190A33BD" w14:textId="77777777" w:rsidR="0069238D" w:rsidRDefault="00000000">
            <w:pPr>
              <w:jc w:val="center"/>
            </w:pPr>
            <w:r>
              <w:rPr>
                <w:rFonts w:ascii="Calibri" w:eastAsia="Calibri" w:hAnsi="Calibri" w:cs="Calibri"/>
                <w:color w:val="007B7F"/>
                <w:sz w:val="18"/>
                <w:szCs w:val="18"/>
              </w:rPr>
              <w:t>98.7</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376F9873" w14:textId="77777777" w:rsidR="0069238D" w:rsidRDefault="00000000">
            <w:pPr>
              <w:jc w:val="center"/>
            </w:pPr>
            <w:r>
              <w:rPr>
                <w:rFonts w:ascii="Calibri" w:eastAsia="Calibri" w:hAnsi="Calibri" w:cs="Calibri"/>
                <w:color w:val="444444"/>
                <w:sz w:val="18"/>
                <w:szCs w:val="18"/>
              </w:rPr>
              <w:t>96.2</w:t>
            </w:r>
          </w:p>
        </w:tc>
        <w:tc>
          <w:tcPr>
            <w:tcW w:w="2090" w:type="dxa"/>
            <w:tcBorders>
              <w:top w:val="single" w:sz="2" w:space="0" w:color="CCCCCC"/>
              <w:left w:val="single" w:sz="2" w:space="0" w:color="CCCCCC"/>
              <w:bottom w:val="single" w:sz="2" w:space="0" w:color="CCCCCC"/>
              <w:right w:val="single" w:sz="2" w:space="0" w:color="CCCCCC"/>
            </w:tcBorders>
            <w:shd w:val="clear" w:color="auto" w:fill="EAF4F4"/>
            <w:tcMar>
              <w:top w:w="80" w:type="dxa"/>
              <w:left w:w="120" w:type="dxa"/>
              <w:bottom w:w="80" w:type="dxa"/>
              <w:right w:w="80" w:type="dxa"/>
            </w:tcMar>
          </w:tcPr>
          <w:p w14:paraId="4F3855DC" w14:textId="77777777" w:rsidR="0069238D" w:rsidRDefault="00000000">
            <w:pPr>
              <w:jc w:val="center"/>
            </w:pPr>
            <w:r>
              <w:rPr>
                <w:rFonts w:ascii="Calibri" w:eastAsia="Calibri" w:hAnsi="Calibri" w:cs="Calibri"/>
                <w:color w:val="444444"/>
                <w:sz w:val="18"/>
                <w:szCs w:val="18"/>
              </w:rPr>
              <w:t>91.5</w:t>
            </w:r>
          </w:p>
        </w:tc>
      </w:tr>
      <w:tr w:rsidR="0069238D" w14:paraId="21F06173" w14:textId="77777777">
        <w:tblPrEx>
          <w:tblCellMar>
            <w:top w:w="0" w:type="dxa"/>
            <w:bottom w:w="0" w:type="dxa"/>
          </w:tblCellMar>
        </w:tblPrEx>
        <w:tc>
          <w:tcPr>
            <w:tcW w:w="2756"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7B7AA3E6" w14:textId="77777777" w:rsidR="0069238D" w:rsidRDefault="00000000">
            <w:proofErr w:type="spellStart"/>
            <w:r>
              <w:rPr>
                <w:rFonts w:ascii="Calibri" w:eastAsia="Calibri" w:hAnsi="Calibri" w:cs="Calibri"/>
                <w:b/>
                <w:bCs/>
                <w:color w:val="003366"/>
                <w:sz w:val="18"/>
                <w:szCs w:val="18"/>
              </w:rPr>
              <w:t>Payback</w:t>
            </w:r>
            <w:proofErr w:type="spellEnd"/>
            <w:r>
              <w:rPr>
                <w:rFonts w:ascii="Calibri" w:eastAsia="Calibri" w:hAnsi="Calibri" w:cs="Calibri"/>
                <w:b/>
                <w:bCs/>
                <w:color w:val="003366"/>
                <w:sz w:val="18"/>
                <w:szCs w:val="18"/>
              </w:rPr>
              <w:t xml:space="preserve"> </w:t>
            </w:r>
            <w:proofErr w:type="spellStart"/>
            <w:r>
              <w:rPr>
                <w:rFonts w:ascii="Calibri" w:eastAsia="Calibri" w:hAnsi="Calibri" w:cs="Calibri"/>
                <w:b/>
                <w:bCs/>
                <w:color w:val="003366"/>
                <w:sz w:val="18"/>
                <w:szCs w:val="18"/>
              </w:rPr>
              <w:t>period</w:t>
            </w:r>
            <w:proofErr w:type="spellEnd"/>
            <w:r>
              <w:rPr>
                <w:rFonts w:ascii="Calibri" w:eastAsia="Calibri" w:hAnsi="Calibri" w:cs="Calibri"/>
                <w:b/>
                <w:bCs/>
                <w:color w:val="003366"/>
                <w:sz w:val="18"/>
                <w:szCs w:val="18"/>
              </w:rPr>
              <w:t xml:space="preserve"> (</w:t>
            </w:r>
            <w:proofErr w:type="spellStart"/>
            <w:r>
              <w:rPr>
                <w:rFonts w:ascii="Calibri" w:eastAsia="Calibri" w:hAnsi="Calibri" w:cs="Calibri"/>
                <w:b/>
                <w:bCs/>
                <w:color w:val="003366"/>
                <w:sz w:val="18"/>
                <w:szCs w:val="18"/>
              </w:rPr>
              <w:t>years</w:t>
            </w:r>
            <w:proofErr w:type="spellEnd"/>
            <w:r>
              <w:rPr>
                <w:rFonts w:ascii="Calibri" w:eastAsia="Calibri" w:hAnsi="Calibri" w:cs="Calibri"/>
                <w:b/>
                <w:bCs/>
                <w:color w:val="003366"/>
                <w:sz w:val="18"/>
                <w:szCs w:val="18"/>
              </w:rPr>
              <w:t>)</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2AEEA5FE" w14:textId="77777777" w:rsidR="0069238D" w:rsidRDefault="00000000">
            <w:pPr>
              <w:jc w:val="center"/>
            </w:pPr>
            <w:r>
              <w:rPr>
                <w:rFonts w:ascii="Calibri" w:eastAsia="Calibri" w:hAnsi="Calibri" w:cs="Calibri"/>
                <w:color w:val="007B7F"/>
                <w:sz w:val="18"/>
                <w:szCs w:val="18"/>
              </w:rPr>
              <w:t>6.8</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2062C96E" w14:textId="77777777" w:rsidR="0069238D" w:rsidRDefault="00000000">
            <w:pPr>
              <w:jc w:val="center"/>
            </w:pPr>
            <w:r>
              <w:rPr>
                <w:rFonts w:ascii="Calibri" w:eastAsia="Calibri" w:hAnsi="Calibri" w:cs="Calibri"/>
                <w:color w:val="444444"/>
                <w:sz w:val="18"/>
                <w:szCs w:val="18"/>
              </w:rPr>
              <w:t>8.4</w:t>
            </w:r>
          </w:p>
        </w:tc>
        <w:tc>
          <w:tcPr>
            <w:tcW w:w="209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80" w:type="dxa"/>
            </w:tcMar>
          </w:tcPr>
          <w:p w14:paraId="08D657BB" w14:textId="77777777" w:rsidR="0069238D" w:rsidRDefault="00000000">
            <w:pPr>
              <w:jc w:val="center"/>
            </w:pPr>
            <w:r>
              <w:rPr>
                <w:rFonts w:ascii="Calibri" w:eastAsia="Calibri" w:hAnsi="Calibri" w:cs="Calibri"/>
                <w:color w:val="444444"/>
                <w:sz w:val="18"/>
                <w:szCs w:val="18"/>
              </w:rPr>
              <w:t>N/A</w:t>
            </w:r>
          </w:p>
        </w:tc>
      </w:tr>
    </w:tbl>
    <w:p w14:paraId="1DD73B51" w14:textId="77777777" w:rsidR="0069238D" w:rsidRDefault="0069238D">
      <w:pPr>
        <w:spacing w:before="160" w:after="60"/>
      </w:pPr>
    </w:p>
    <w:p w14:paraId="650B514A" w14:textId="77777777" w:rsidR="0069238D" w:rsidRDefault="0069238D">
      <w:pPr>
        <w:pBdr>
          <w:bottom w:val="single" w:sz="4" w:space="1" w:color="CCCCCC"/>
        </w:pBdr>
      </w:pPr>
    </w:p>
    <w:p w14:paraId="7E3A6CEE" w14:textId="77777777" w:rsidR="0069238D" w:rsidRDefault="00000000">
      <w:pPr>
        <w:pStyle w:val="Titre1"/>
      </w:pPr>
      <w:r>
        <w:t>6.  Discussion</w:t>
      </w:r>
    </w:p>
    <w:p w14:paraId="2271D9A1" w14:textId="77777777" w:rsidR="0069238D" w:rsidRDefault="0069238D">
      <w:pPr>
        <w:pBdr>
          <w:bottom w:val="single" w:sz="6" w:space="1" w:color="007B7F"/>
        </w:pBdr>
      </w:pPr>
    </w:p>
    <w:p w14:paraId="04B6B003" w14:textId="77777777" w:rsidR="0069238D" w:rsidRDefault="0069238D">
      <w:pPr>
        <w:spacing w:before="80" w:after="40"/>
      </w:pPr>
    </w:p>
    <w:p w14:paraId="6F8B113E" w14:textId="77777777" w:rsidR="0069238D" w:rsidRPr="0014526F" w:rsidRDefault="00000000">
      <w:pPr>
        <w:spacing w:before="80" w:after="80" w:line="276" w:lineRule="auto"/>
        <w:jc w:val="both"/>
        <w:rPr>
          <w:lang w:val="en-US"/>
        </w:rPr>
      </w:pPr>
      <w:r w:rsidRPr="0014526F">
        <w:rPr>
          <w:color w:val="444444"/>
          <w:lang w:val="en-US"/>
        </w:rPr>
        <w:t xml:space="preserve">The results confirm the techno-economic superiority of the proposed adaptive MPPT strategy over both the fixed duty-cycle controller and the diesel-only baseline. The 97.5% tracking efficiency at STC and 96.6% at 45°C represent a significant improvement over the classical P&amp;O (90.6% at 45°C) reported by Kamta and </w:t>
      </w:r>
      <w:proofErr w:type="spellStart"/>
      <w:r w:rsidRPr="0014526F">
        <w:rPr>
          <w:color w:val="444444"/>
          <w:lang w:val="en-US"/>
        </w:rPr>
        <w:t>Tchuidjan</w:t>
      </w:r>
      <w:proofErr w:type="spellEnd"/>
      <w:r w:rsidRPr="0014526F">
        <w:rPr>
          <w:color w:val="444444"/>
          <w:lang w:val="en-US"/>
        </w:rPr>
        <w:t xml:space="preserve"> [7] for similar tropical conditions, highlighting the benefit of temperature-adaptive gain tuning.</w:t>
      </w:r>
    </w:p>
    <w:p w14:paraId="45217388" w14:textId="77777777" w:rsidR="0069238D" w:rsidRPr="0014526F" w:rsidRDefault="0069238D">
      <w:pPr>
        <w:spacing w:before="60" w:after="40"/>
        <w:rPr>
          <w:lang w:val="en-US"/>
        </w:rPr>
      </w:pPr>
    </w:p>
    <w:p w14:paraId="2F59F390" w14:textId="77777777" w:rsidR="0069238D" w:rsidRPr="0014526F" w:rsidRDefault="00000000">
      <w:pPr>
        <w:spacing w:before="80" w:after="80" w:line="276" w:lineRule="auto"/>
        <w:jc w:val="both"/>
        <w:rPr>
          <w:lang w:val="en-US"/>
        </w:rPr>
      </w:pPr>
      <w:r w:rsidRPr="0014526F">
        <w:rPr>
          <w:color w:val="444444"/>
          <w:lang w:val="en-US"/>
        </w:rPr>
        <w:t>The LCOE of USD 0.17/kWh is competitive with other off-grid hybrid systems reported in the literature for Sub-Saharan Africa (USD 0.19–0.31/kWh [8]) and well below the diesel-only benchmark, despite the higher initial capital cost. The 6.8-year payback period is financially attractive given the 20-year project lifetime, particularly if diesel prices continue their upward trend.</w:t>
      </w:r>
    </w:p>
    <w:p w14:paraId="28E195E8" w14:textId="77777777" w:rsidR="0069238D" w:rsidRPr="0014526F" w:rsidRDefault="0069238D">
      <w:pPr>
        <w:spacing w:before="60" w:after="40"/>
        <w:rPr>
          <w:lang w:val="en-US"/>
        </w:rPr>
      </w:pPr>
    </w:p>
    <w:p w14:paraId="7140C0C4" w14:textId="77777777" w:rsidR="0069238D" w:rsidRPr="0014526F" w:rsidRDefault="00000000">
      <w:pPr>
        <w:spacing w:before="80" w:after="80" w:line="276" w:lineRule="auto"/>
        <w:jc w:val="both"/>
        <w:rPr>
          <w:lang w:val="en-US"/>
        </w:rPr>
      </w:pPr>
      <w:r w:rsidRPr="0014526F">
        <w:rPr>
          <w:color w:val="444444"/>
          <w:lang w:val="en-US"/>
        </w:rPr>
        <w:t xml:space="preserve">The CO₂ emission reduction of 1,945 kg/year per village is modest in absolute terms, but represents a 68% decrease relative to the diesel baseline and is significant when projected across the estimated 4,200 off-grid villages in Cameroon's rural areas, yielding a potential national reduction of over 8,000 </w:t>
      </w:r>
      <w:proofErr w:type="spellStart"/>
      <w:r w:rsidRPr="0014526F">
        <w:rPr>
          <w:color w:val="444444"/>
          <w:lang w:val="en-US"/>
        </w:rPr>
        <w:t>tonnes</w:t>
      </w:r>
      <w:proofErr w:type="spellEnd"/>
      <w:r w:rsidRPr="0014526F">
        <w:rPr>
          <w:color w:val="444444"/>
          <w:lang w:val="en-US"/>
        </w:rPr>
        <w:t xml:space="preserve"> CO₂/year — equivalent to removing approximately 1,700 passenger vehicles from the road annually.</w:t>
      </w:r>
    </w:p>
    <w:p w14:paraId="5C301716" w14:textId="77777777" w:rsidR="0069238D" w:rsidRPr="0014526F" w:rsidRDefault="0069238D">
      <w:pPr>
        <w:spacing w:before="60" w:after="40"/>
        <w:rPr>
          <w:lang w:val="en-US"/>
        </w:rPr>
      </w:pPr>
    </w:p>
    <w:p w14:paraId="3BF298CF" w14:textId="77777777" w:rsidR="0069238D" w:rsidRPr="0014526F" w:rsidRDefault="00000000">
      <w:pPr>
        <w:spacing w:before="80" w:after="80" w:line="276" w:lineRule="auto"/>
        <w:jc w:val="both"/>
        <w:rPr>
          <w:lang w:val="en-US"/>
        </w:rPr>
      </w:pPr>
      <w:r w:rsidRPr="0014526F">
        <w:rPr>
          <w:color w:val="444444"/>
          <w:lang w:val="en-US"/>
        </w:rPr>
        <w:t>Several limitations of this study should be acknowledged. First, the battery model uses a simplified Shepherd equation that does not fully capture calendar ageing at elevated temperatures, which may lead to an optimistic estimate of long-term performance. Second, the load profile used is based on a survey of a single village and may not be representative of all rural communities in the region. Third, the economic analysis assumes stable fuel prices; in practice, diesel price volatility in remote areas could further improve the relative economic performance of the hybrid system. Future work will address these limitations by incorporating electrochemical battery models and multi-village load profiles.</w:t>
      </w:r>
    </w:p>
    <w:p w14:paraId="64DD13AA" w14:textId="77777777" w:rsidR="0069238D" w:rsidRDefault="0069238D">
      <w:pPr>
        <w:spacing w:before="160" w:after="60"/>
        <w:rPr>
          <w:lang w:val="en-US"/>
        </w:rPr>
      </w:pPr>
    </w:p>
    <w:p w14:paraId="2536CD48" w14:textId="77777777" w:rsidR="00777732" w:rsidRPr="0014526F" w:rsidRDefault="00777732">
      <w:pPr>
        <w:spacing w:before="160" w:after="60"/>
        <w:rPr>
          <w:lang w:val="en-US"/>
        </w:rPr>
      </w:pPr>
    </w:p>
    <w:p w14:paraId="10485221" w14:textId="77777777" w:rsidR="0069238D" w:rsidRPr="0014526F" w:rsidRDefault="0069238D">
      <w:pPr>
        <w:pBdr>
          <w:bottom w:val="single" w:sz="4" w:space="1" w:color="CCCCCC"/>
        </w:pBdr>
        <w:rPr>
          <w:lang w:val="en-US"/>
        </w:rPr>
      </w:pPr>
    </w:p>
    <w:p w14:paraId="418368A5" w14:textId="77777777" w:rsidR="0069238D" w:rsidRDefault="00000000">
      <w:pPr>
        <w:pStyle w:val="Titre1"/>
      </w:pPr>
      <w:r>
        <w:t>7.  Conclusion</w:t>
      </w:r>
    </w:p>
    <w:p w14:paraId="695265AB" w14:textId="77777777" w:rsidR="0069238D" w:rsidRDefault="0069238D">
      <w:pPr>
        <w:pBdr>
          <w:bottom w:val="single" w:sz="6" w:space="1" w:color="007B7F"/>
        </w:pBdr>
      </w:pPr>
    </w:p>
    <w:p w14:paraId="19134843" w14:textId="77777777" w:rsidR="0069238D" w:rsidRDefault="0069238D">
      <w:pPr>
        <w:spacing w:before="80" w:after="40"/>
      </w:pPr>
    </w:p>
    <w:p w14:paraId="13C7DE7A" w14:textId="77777777" w:rsidR="0069238D" w:rsidRPr="0014526F" w:rsidRDefault="00000000">
      <w:pPr>
        <w:spacing w:before="80" w:after="80" w:line="276" w:lineRule="auto"/>
        <w:jc w:val="both"/>
        <w:rPr>
          <w:lang w:val="en-US"/>
        </w:rPr>
      </w:pPr>
      <w:r w:rsidRPr="0014526F">
        <w:rPr>
          <w:color w:val="444444"/>
          <w:lang w:val="en-US"/>
        </w:rPr>
        <w:t>This paper presented the design, simulation and economic analysis of an adaptive MPPT-controlled PV-diesel hybrid system for off-grid rural electrification in Sub-Saharan Africa. The proposed fuzzy-logic-based adaptive MPPT algorithm, with its novel temperature-compensated gain adjustment, achieves a tracking efficiency of 97.5% at STC and remains above 95% across the full tropical operating temperature range of 15–60°C.</w:t>
      </w:r>
    </w:p>
    <w:p w14:paraId="476DC1B0" w14:textId="77777777" w:rsidR="0069238D" w:rsidRPr="0014526F" w:rsidRDefault="00000000">
      <w:pPr>
        <w:spacing w:before="80" w:after="80" w:line="276" w:lineRule="auto"/>
        <w:jc w:val="both"/>
        <w:rPr>
          <w:lang w:val="en-US"/>
        </w:rPr>
      </w:pPr>
      <w:r w:rsidRPr="0014526F">
        <w:rPr>
          <w:color w:val="444444"/>
          <w:lang w:val="en-US"/>
        </w:rPr>
        <w:t xml:space="preserve">Annual simulation under realistic Cameroonian irradiance conditions demonstrates that the proposed system (Scenario S1) outperforms the fixed duty-cycle controller on all key indicators: annual PV yield (+15.4%), LCOE (−22%), diesel consumption (−55%), and CO₂ emissions (−58%). The estimated LCOE of USD 0.17/kWh and a simple payback period of 6.8 years make the system commercially viable for rural electrification </w:t>
      </w:r>
      <w:proofErr w:type="spellStart"/>
      <w:r w:rsidRPr="0014526F">
        <w:rPr>
          <w:color w:val="444444"/>
          <w:lang w:val="en-US"/>
        </w:rPr>
        <w:t>programmes</w:t>
      </w:r>
      <w:proofErr w:type="spellEnd"/>
      <w:r w:rsidRPr="0014526F">
        <w:rPr>
          <w:color w:val="444444"/>
          <w:lang w:val="en-US"/>
        </w:rPr>
        <w:t xml:space="preserve"> without subsidies.</w:t>
      </w:r>
    </w:p>
    <w:p w14:paraId="58AC4CE3" w14:textId="77777777" w:rsidR="0069238D" w:rsidRPr="0014526F" w:rsidRDefault="0069238D">
      <w:pPr>
        <w:spacing w:before="60" w:after="40"/>
        <w:rPr>
          <w:lang w:val="en-US"/>
        </w:rPr>
      </w:pPr>
    </w:p>
    <w:p w14:paraId="650E7309" w14:textId="77777777" w:rsidR="0069238D" w:rsidRPr="0014526F" w:rsidRDefault="00000000">
      <w:pPr>
        <w:spacing w:before="80" w:after="80" w:line="276" w:lineRule="auto"/>
        <w:jc w:val="both"/>
        <w:rPr>
          <w:lang w:val="en-US"/>
        </w:rPr>
      </w:pPr>
      <w:r w:rsidRPr="0014526F">
        <w:rPr>
          <w:color w:val="444444"/>
          <w:lang w:val="en-US"/>
        </w:rPr>
        <w:t>Short-term perspectives include the experimental validation of the proposed controller on a laboratory-scale prototype and field deployment in a pilot village. Medium-term, the energy management algorithm will be extended to include demand-side management and V2G capabilities as electric mobility penetrates rural African markets.</w:t>
      </w:r>
    </w:p>
    <w:p w14:paraId="7660008D" w14:textId="77777777" w:rsidR="0069238D" w:rsidRPr="0014526F" w:rsidRDefault="0069238D">
      <w:pPr>
        <w:spacing w:before="160" w:after="60"/>
        <w:rPr>
          <w:lang w:val="en-US"/>
        </w:rPr>
      </w:pPr>
    </w:p>
    <w:p w14:paraId="5C020AB8" w14:textId="77777777" w:rsidR="0069238D" w:rsidRPr="0014526F" w:rsidRDefault="0069238D">
      <w:pPr>
        <w:pBdr>
          <w:bottom w:val="single" w:sz="4" w:space="1" w:color="CCCCCC"/>
        </w:pBdr>
        <w:rPr>
          <w:lang w:val="en-US"/>
        </w:rPr>
      </w:pPr>
    </w:p>
    <w:p w14:paraId="55622B74" w14:textId="77777777" w:rsidR="0069238D" w:rsidRDefault="00000000">
      <w:pPr>
        <w:pStyle w:val="Titre1"/>
      </w:pPr>
      <w:r>
        <w:t>8.  Acknowledgements</w:t>
      </w:r>
    </w:p>
    <w:p w14:paraId="3229EF96" w14:textId="77777777" w:rsidR="0069238D" w:rsidRDefault="0069238D">
      <w:pPr>
        <w:pBdr>
          <w:bottom w:val="single" w:sz="6" w:space="1" w:color="007B7F"/>
        </w:pBdr>
      </w:pPr>
    </w:p>
    <w:p w14:paraId="0DD91D4B" w14:textId="77777777" w:rsidR="0069238D" w:rsidRDefault="0069238D">
      <w:pPr>
        <w:spacing w:before="80" w:after="40"/>
      </w:pPr>
    </w:p>
    <w:p w14:paraId="5D458AE1" w14:textId="77777777" w:rsidR="0069238D" w:rsidRPr="0014526F" w:rsidRDefault="00000000">
      <w:pPr>
        <w:spacing w:before="80" w:after="80" w:line="276" w:lineRule="auto"/>
        <w:jc w:val="both"/>
        <w:rPr>
          <w:lang w:val="en-US"/>
        </w:rPr>
      </w:pPr>
      <w:r w:rsidRPr="0014526F">
        <w:rPr>
          <w:color w:val="444444"/>
          <w:lang w:val="en-US"/>
        </w:rPr>
        <w:t xml:space="preserve">The authors gratefully acknowledge the financial support of the African Development Bank (AfDB) under the CDSF Research Grant No. CDSF-2024-CM-047, and the logistical support of the </w:t>
      </w:r>
      <w:proofErr w:type="spellStart"/>
      <w:r w:rsidRPr="0014526F">
        <w:rPr>
          <w:color w:val="444444"/>
          <w:lang w:val="en-US"/>
        </w:rPr>
        <w:t>Abiete</w:t>
      </w:r>
      <w:proofErr w:type="spellEnd"/>
      <w:r w:rsidRPr="0014526F">
        <w:rPr>
          <w:color w:val="444444"/>
          <w:lang w:val="en-US"/>
        </w:rPr>
        <w:t>-Ze village development committee. The solar resource data were provided by NASA POWER (https://power.larc.nasa.gov).</w:t>
      </w:r>
    </w:p>
    <w:p w14:paraId="4FEDC243" w14:textId="77777777" w:rsidR="0069238D" w:rsidRPr="0014526F" w:rsidRDefault="0069238D">
      <w:pPr>
        <w:spacing w:before="160" w:after="60"/>
        <w:rPr>
          <w:lang w:val="en-US"/>
        </w:rPr>
      </w:pPr>
    </w:p>
    <w:p w14:paraId="6F426D16" w14:textId="77777777" w:rsidR="0069238D" w:rsidRPr="0014526F" w:rsidRDefault="0069238D">
      <w:pPr>
        <w:pBdr>
          <w:bottom w:val="single" w:sz="4" w:space="1" w:color="CCCCCC"/>
        </w:pBdr>
        <w:rPr>
          <w:lang w:val="en-US"/>
        </w:rPr>
      </w:pPr>
    </w:p>
    <w:p w14:paraId="625FE2A5" w14:textId="77777777" w:rsidR="0069238D" w:rsidRDefault="00000000">
      <w:pPr>
        <w:pStyle w:val="Titre1"/>
      </w:pPr>
      <w:r>
        <w:t>9.  References</w:t>
      </w:r>
    </w:p>
    <w:p w14:paraId="1386C550" w14:textId="77777777" w:rsidR="0069238D" w:rsidRDefault="0069238D">
      <w:pPr>
        <w:pBdr>
          <w:bottom w:val="single" w:sz="6" w:space="1" w:color="007B7F"/>
        </w:pBdr>
      </w:pPr>
    </w:p>
    <w:p w14:paraId="344C3AB9" w14:textId="77777777" w:rsidR="0069238D" w:rsidRDefault="0069238D">
      <w:pPr>
        <w:spacing w:before="80" w:after="40"/>
      </w:pPr>
    </w:p>
    <w:p w14:paraId="6B758892" w14:textId="77777777" w:rsidR="0069238D" w:rsidRPr="0014526F" w:rsidRDefault="00000000">
      <w:pPr>
        <w:spacing w:before="40" w:after="40"/>
        <w:jc w:val="both"/>
        <w:rPr>
          <w:lang w:val="en-US"/>
        </w:rPr>
      </w:pPr>
      <w:r w:rsidRPr="0014526F">
        <w:rPr>
          <w:rFonts w:ascii="Calibri" w:eastAsia="Calibri" w:hAnsi="Calibri" w:cs="Calibri"/>
          <w:color w:val="888888"/>
          <w:sz w:val="20"/>
          <w:szCs w:val="20"/>
          <w:lang w:val="en-US"/>
        </w:rPr>
        <w:t>IEEE format — Times New Roman 10 pt — single spacing</w:t>
      </w:r>
    </w:p>
    <w:p w14:paraId="1705402E" w14:textId="77777777" w:rsidR="0069238D" w:rsidRPr="0014526F" w:rsidRDefault="0069238D">
      <w:pPr>
        <w:spacing w:before="40" w:after="40"/>
        <w:rPr>
          <w:lang w:val="en-US"/>
        </w:rPr>
      </w:pPr>
    </w:p>
    <w:p w14:paraId="3F7BD0FE" w14:textId="77777777" w:rsidR="0069238D" w:rsidRDefault="00000000">
      <w:pPr>
        <w:pStyle w:val="Paragraphedeliste"/>
        <w:numPr>
          <w:ilvl w:val="0"/>
          <w:numId w:val="2"/>
        </w:numPr>
        <w:spacing w:before="40" w:after="40"/>
      </w:pPr>
      <w:r w:rsidRPr="0014526F">
        <w:rPr>
          <w:color w:val="444444"/>
          <w:sz w:val="20"/>
          <w:szCs w:val="20"/>
          <w:lang w:val="en-US"/>
        </w:rPr>
        <w:t xml:space="preserve">International Energy Agency (IEA), World Energy Outlook 2024 — Africa Energy Outlook. </w:t>
      </w:r>
      <w:r>
        <w:rPr>
          <w:color w:val="444444"/>
          <w:sz w:val="20"/>
          <w:szCs w:val="20"/>
        </w:rPr>
        <w:t>IEA, Paris, France, 2024.</w:t>
      </w:r>
    </w:p>
    <w:p w14:paraId="0C0D8787" w14:textId="77777777" w:rsidR="0069238D" w:rsidRDefault="00000000">
      <w:pPr>
        <w:pStyle w:val="Paragraphedeliste"/>
        <w:numPr>
          <w:ilvl w:val="0"/>
          <w:numId w:val="2"/>
        </w:numPr>
        <w:spacing w:before="40" w:after="40"/>
      </w:pPr>
      <w:r w:rsidRPr="0014526F">
        <w:rPr>
          <w:color w:val="444444"/>
          <w:sz w:val="20"/>
          <w:szCs w:val="20"/>
          <w:lang w:val="en-US"/>
        </w:rPr>
        <w:t xml:space="preserve">Ministry of Energy and Water Resources of Cameroon (MINEE), Cameroon National Electrification Strategy 2030. </w:t>
      </w:r>
      <w:r>
        <w:rPr>
          <w:color w:val="444444"/>
          <w:sz w:val="20"/>
          <w:szCs w:val="20"/>
        </w:rPr>
        <w:t xml:space="preserve">MINEE, Yaoundé, </w:t>
      </w:r>
      <w:proofErr w:type="spellStart"/>
      <w:r>
        <w:rPr>
          <w:color w:val="444444"/>
          <w:sz w:val="20"/>
          <w:szCs w:val="20"/>
        </w:rPr>
        <w:t>Cameroon</w:t>
      </w:r>
      <w:proofErr w:type="spellEnd"/>
      <w:r>
        <w:rPr>
          <w:color w:val="444444"/>
          <w:sz w:val="20"/>
          <w:szCs w:val="20"/>
        </w:rPr>
        <w:t>, 2023.</w:t>
      </w:r>
    </w:p>
    <w:p w14:paraId="7E15050E" w14:textId="77777777" w:rsidR="0069238D" w:rsidRDefault="00000000">
      <w:pPr>
        <w:pStyle w:val="Paragraphedeliste"/>
        <w:numPr>
          <w:ilvl w:val="0"/>
          <w:numId w:val="2"/>
        </w:numPr>
        <w:spacing w:before="40" w:after="40"/>
      </w:pPr>
      <w:r w:rsidRPr="0014526F">
        <w:rPr>
          <w:color w:val="444444"/>
          <w:sz w:val="20"/>
          <w:szCs w:val="20"/>
          <w:lang w:val="en-US"/>
        </w:rPr>
        <w:t xml:space="preserve">C. Nwosu, M. Agu, and O. Ekwueme, "Optimal sizing of a PV-diesel-battery hybrid system for rural electrification in West Africa," Renewable Energy, vol. 185, pp. 1200–1215, Feb. 2022. </w:t>
      </w:r>
      <w:proofErr w:type="gramStart"/>
      <w:r>
        <w:rPr>
          <w:color w:val="444444"/>
          <w:sz w:val="20"/>
          <w:szCs w:val="20"/>
        </w:rPr>
        <w:t>DOI:</w:t>
      </w:r>
      <w:proofErr w:type="gramEnd"/>
      <w:r>
        <w:rPr>
          <w:color w:val="444444"/>
          <w:sz w:val="20"/>
          <w:szCs w:val="20"/>
        </w:rPr>
        <w:t xml:space="preserve"> 10.1016/j.renene.2021.12.018</w:t>
      </w:r>
    </w:p>
    <w:p w14:paraId="076FE113" w14:textId="77777777" w:rsidR="0069238D" w:rsidRDefault="00000000">
      <w:pPr>
        <w:pStyle w:val="Paragraphedeliste"/>
        <w:numPr>
          <w:ilvl w:val="0"/>
          <w:numId w:val="2"/>
        </w:numPr>
        <w:spacing w:before="40" w:after="40"/>
      </w:pPr>
      <w:r w:rsidRPr="0014526F">
        <w:rPr>
          <w:color w:val="444444"/>
          <w:sz w:val="20"/>
          <w:szCs w:val="20"/>
          <w:lang w:val="en-US"/>
        </w:rPr>
        <w:t xml:space="preserve">P. Sahu and P. Prasad, "Temperature effects on MPPT algorithms for PV systems in tropical climates: A comparative study," IEEE Trans. </w:t>
      </w:r>
      <w:r>
        <w:rPr>
          <w:color w:val="444444"/>
          <w:sz w:val="20"/>
          <w:szCs w:val="20"/>
        </w:rPr>
        <w:t>Energy Convers., vol. 38, no. 2, pp. 812–821, Jun. 2023.</w:t>
      </w:r>
    </w:p>
    <w:p w14:paraId="6A1A5A76" w14:textId="77777777" w:rsidR="0069238D" w:rsidRPr="0014526F" w:rsidRDefault="00000000">
      <w:pPr>
        <w:pStyle w:val="Paragraphedeliste"/>
        <w:numPr>
          <w:ilvl w:val="0"/>
          <w:numId w:val="2"/>
        </w:numPr>
        <w:spacing w:before="40" w:after="40"/>
        <w:rPr>
          <w:lang w:val="en-US"/>
        </w:rPr>
      </w:pPr>
      <w:r w:rsidRPr="0014526F">
        <w:rPr>
          <w:color w:val="444444"/>
          <w:sz w:val="20"/>
          <w:szCs w:val="20"/>
          <w:lang w:val="en-US"/>
        </w:rPr>
        <w:t xml:space="preserve">D. Sera, L. Mathe, T. Kerekes, S. V. Spataru, and R. Teodorescu, "On the Perturb-and-Observe and Incremental Conductance MPPT Methods for PV Systems," IEEE J. </w:t>
      </w:r>
      <w:proofErr w:type="spellStart"/>
      <w:r w:rsidRPr="0014526F">
        <w:rPr>
          <w:color w:val="444444"/>
          <w:sz w:val="20"/>
          <w:szCs w:val="20"/>
          <w:lang w:val="en-US"/>
        </w:rPr>
        <w:t>Photovolt</w:t>
      </w:r>
      <w:proofErr w:type="spellEnd"/>
      <w:r w:rsidRPr="0014526F">
        <w:rPr>
          <w:color w:val="444444"/>
          <w:sz w:val="20"/>
          <w:szCs w:val="20"/>
          <w:lang w:val="en-US"/>
        </w:rPr>
        <w:t>., vol. 3, no. 3, pp. 1070–1078, Jul. 2013.</w:t>
      </w:r>
    </w:p>
    <w:p w14:paraId="100D426D" w14:textId="77777777" w:rsidR="0069238D" w:rsidRDefault="00000000">
      <w:pPr>
        <w:pStyle w:val="Paragraphedeliste"/>
        <w:numPr>
          <w:ilvl w:val="0"/>
          <w:numId w:val="2"/>
        </w:numPr>
        <w:spacing w:before="40" w:after="40"/>
      </w:pPr>
      <w:r w:rsidRPr="0014526F">
        <w:rPr>
          <w:color w:val="444444"/>
          <w:sz w:val="20"/>
          <w:szCs w:val="20"/>
          <w:lang w:val="en-US"/>
        </w:rPr>
        <w:t xml:space="preserve">A. </w:t>
      </w:r>
      <w:proofErr w:type="spellStart"/>
      <w:r w:rsidRPr="0014526F">
        <w:rPr>
          <w:color w:val="444444"/>
          <w:sz w:val="20"/>
          <w:szCs w:val="20"/>
          <w:lang w:val="en-US"/>
        </w:rPr>
        <w:t>Boukenoui</w:t>
      </w:r>
      <w:proofErr w:type="spellEnd"/>
      <w:r w:rsidRPr="0014526F">
        <w:rPr>
          <w:color w:val="444444"/>
          <w:sz w:val="20"/>
          <w:szCs w:val="20"/>
          <w:lang w:val="en-US"/>
        </w:rPr>
        <w:t xml:space="preserve">, H. Salhi, R. </w:t>
      </w:r>
      <w:proofErr w:type="spellStart"/>
      <w:r w:rsidRPr="0014526F">
        <w:rPr>
          <w:color w:val="444444"/>
          <w:sz w:val="20"/>
          <w:szCs w:val="20"/>
          <w:lang w:val="en-US"/>
        </w:rPr>
        <w:t>Bradai</w:t>
      </w:r>
      <w:proofErr w:type="spellEnd"/>
      <w:r w:rsidRPr="0014526F">
        <w:rPr>
          <w:color w:val="444444"/>
          <w:sz w:val="20"/>
          <w:szCs w:val="20"/>
          <w:lang w:val="en-US"/>
        </w:rPr>
        <w:t xml:space="preserve">, and A. Mellit, "A new intelligent MPPT method for grid-connected PV systems operating under fast-changing environmental conditions," Sol. </w:t>
      </w:r>
      <w:r>
        <w:rPr>
          <w:color w:val="444444"/>
          <w:sz w:val="20"/>
          <w:szCs w:val="20"/>
        </w:rPr>
        <w:t>Energy, vol. 142, pp. 100–113, Jan. 2017.</w:t>
      </w:r>
    </w:p>
    <w:p w14:paraId="67BA161A" w14:textId="77777777" w:rsidR="0069238D" w:rsidRDefault="00000000">
      <w:pPr>
        <w:pStyle w:val="Paragraphedeliste"/>
        <w:numPr>
          <w:ilvl w:val="0"/>
          <w:numId w:val="2"/>
        </w:numPr>
        <w:spacing w:before="40" w:after="40"/>
      </w:pPr>
      <w:r w:rsidRPr="0014526F">
        <w:rPr>
          <w:color w:val="444444"/>
          <w:sz w:val="20"/>
          <w:szCs w:val="20"/>
          <w:lang w:val="en-US"/>
        </w:rPr>
        <w:t xml:space="preserve">M. Kamta and R. </w:t>
      </w:r>
      <w:proofErr w:type="spellStart"/>
      <w:r w:rsidRPr="0014526F">
        <w:rPr>
          <w:color w:val="444444"/>
          <w:sz w:val="20"/>
          <w:szCs w:val="20"/>
          <w:lang w:val="en-US"/>
        </w:rPr>
        <w:t>Tchuidjan</w:t>
      </w:r>
      <w:proofErr w:type="spellEnd"/>
      <w:r w:rsidRPr="0014526F">
        <w:rPr>
          <w:color w:val="444444"/>
          <w:sz w:val="20"/>
          <w:szCs w:val="20"/>
          <w:lang w:val="en-US"/>
        </w:rPr>
        <w:t xml:space="preserve">, "Fuzzy-logic MPPT control for standalone PV system in Garoua climatic conditions, Cameroon," African J. Sci. </w:t>
      </w:r>
      <w:proofErr w:type="spellStart"/>
      <w:r>
        <w:rPr>
          <w:color w:val="444444"/>
          <w:sz w:val="20"/>
          <w:szCs w:val="20"/>
        </w:rPr>
        <w:t>Technol</w:t>
      </w:r>
      <w:proofErr w:type="spellEnd"/>
      <w:r>
        <w:rPr>
          <w:color w:val="444444"/>
          <w:sz w:val="20"/>
          <w:szCs w:val="20"/>
        </w:rPr>
        <w:t>. Innov. Dev., vol. 14, no. 3, pp. 745–758, 2022.</w:t>
      </w:r>
    </w:p>
    <w:p w14:paraId="68EEE0B9" w14:textId="77777777" w:rsidR="0069238D" w:rsidRDefault="00000000">
      <w:pPr>
        <w:pStyle w:val="Paragraphedeliste"/>
        <w:numPr>
          <w:ilvl w:val="0"/>
          <w:numId w:val="2"/>
        </w:numPr>
        <w:spacing w:before="40" w:after="40"/>
      </w:pPr>
      <w:r w:rsidRPr="0014526F">
        <w:rPr>
          <w:color w:val="444444"/>
          <w:sz w:val="20"/>
          <w:szCs w:val="20"/>
          <w:lang w:val="en-US"/>
        </w:rPr>
        <w:t xml:space="preserve">A. Diallo, M. Ba, and I. Sow, "Economic analysis of PV-diesel hybrid micro-grids in the Sahel region: A multi-site study," Energy Sustain. </w:t>
      </w:r>
      <w:r>
        <w:rPr>
          <w:color w:val="444444"/>
          <w:sz w:val="20"/>
          <w:szCs w:val="20"/>
        </w:rPr>
        <w:t xml:space="preserve">Dev., vol. 72, pp. 185–199, </w:t>
      </w:r>
      <w:proofErr w:type="spellStart"/>
      <w:r>
        <w:rPr>
          <w:color w:val="444444"/>
          <w:sz w:val="20"/>
          <w:szCs w:val="20"/>
        </w:rPr>
        <w:t>Feb</w:t>
      </w:r>
      <w:proofErr w:type="spellEnd"/>
      <w:r>
        <w:rPr>
          <w:color w:val="444444"/>
          <w:sz w:val="20"/>
          <w:szCs w:val="20"/>
        </w:rPr>
        <w:t>. 2023.</w:t>
      </w:r>
    </w:p>
    <w:p w14:paraId="2F300E06" w14:textId="77777777" w:rsidR="0069238D" w:rsidRPr="0014526F" w:rsidRDefault="00000000">
      <w:pPr>
        <w:pStyle w:val="Paragraphedeliste"/>
        <w:numPr>
          <w:ilvl w:val="0"/>
          <w:numId w:val="2"/>
        </w:numPr>
        <w:spacing w:before="40" w:after="40"/>
        <w:rPr>
          <w:lang w:val="en-US"/>
        </w:rPr>
      </w:pPr>
      <w:r w:rsidRPr="0014526F">
        <w:rPr>
          <w:color w:val="444444"/>
          <w:sz w:val="20"/>
          <w:szCs w:val="20"/>
          <w:lang w:val="en-US"/>
        </w:rPr>
        <w:t>J.-P. Ngoma and B. Kasali, "Rule-based energy management for a PV-diesel hybrid system in rural DR Congo," in Proc. 5th Int. Conf. on Renewable Energy in Africa (ICREA 2023), Abidjan, Côte d'Ivoire, 2023, pp. 88–95.</w:t>
      </w:r>
    </w:p>
    <w:p w14:paraId="6196B679" w14:textId="77777777" w:rsidR="0069238D" w:rsidRPr="0014526F" w:rsidRDefault="00000000">
      <w:pPr>
        <w:pStyle w:val="Paragraphedeliste"/>
        <w:numPr>
          <w:ilvl w:val="0"/>
          <w:numId w:val="2"/>
        </w:numPr>
        <w:spacing w:before="40" w:after="40"/>
        <w:rPr>
          <w:lang w:val="en-US"/>
        </w:rPr>
      </w:pPr>
      <w:r w:rsidRPr="0014526F">
        <w:rPr>
          <w:color w:val="444444"/>
          <w:sz w:val="20"/>
          <w:szCs w:val="20"/>
          <w:lang w:val="en-US"/>
        </w:rPr>
        <w:t xml:space="preserve">S. </w:t>
      </w:r>
      <w:proofErr w:type="spellStart"/>
      <w:r w:rsidRPr="0014526F">
        <w:rPr>
          <w:color w:val="444444"/>
          <w:sz w:val="20"/>
          <w:szCs w:val="20"/>
          <w:lang w:val="en-US"/>
        </w:rPr>
        <w:t>Motahhir</w:t>
      </w:r>
      <w:proofErr w:type="spellEnd"/>
      <w:r w:rsidRPr="0014526F">
        <w:rPr>
          <w:color w:val="444444"/>
          <w:sz w:val="20"/>
          <w:szCs w:val="20"/>
          <w:lang w:val="en-US"/>
        </w:rPr>
        <w:t xml:space="preserve">, A. El </w:t>
      </w:r>
      <w:proofErr w:type="spellStart"/>
      <w:r w:rsidRPr="0014526F">
        <w:rPr>
          <w:color w:val="444444"/>
          <w:sz w:val="20"/>
          <w:szCs w:val="20"/>
          <w:lang w:val="en-US"/>
        </w:rPr>
        <w:t>Ghzizal</w:t>
      </w:r>
      <w:proofErr w:type="spellEnd"/>
      <w:r w:rsidRPr="0014526F">
        <w:rPr>
          <w:color w:val="444444"/>
          <w:sz w:val="20"/>
          <w:szCs w:val="20"/>
          <w:lang w:val="en-US"/>
        </w:rPr>
        <w:t xml:space="preserve">, S. Sebti, and A. </w:t>
      </w:r>
      <w:proofErr w:type="spellStart"/>
      <w:r w:rsidRPr="0014526F">
        <w:rPr>
          <w:color w:val="444444"/>
          <w:sz w:val="20"/>
          <w:szCs w:val="20"/>
          <w:lang w:val="en-US"/>
        </w:rPr>
        <w:t>Derouich</w:t>
      </w:r>
      <w:proofErr w:type="spellEnd"/>
      <w:r w:rsidRPr="0014526F">
        <w:rPr>
          <w:color w:val="444444"/>
          <w:sz w:val="20"/>
          <w:szCs w:val="20"/>
          <w:lang w:val="en-US"/>
        </w:rPr>
        <w:t>, "Proposal and implementation of an MPP tracker based on a back propagation neural network," Energy Rep., vol. 6, pp. 1211–1224, Nov. 2020.</w:t>
      </w:r>
    </w:p>
    <w:p w14:paraId="6DE325EF" w14:textId="77777777" w:rsidR="0069238D" w:rsidRPr="0014526F" w:rsidRDefault="0069238D">
      <w:pPr>
        <w:spacing w:before="200" w:after="100"/>
        <w:rPr>
          <w:lang w:val="en-US"/>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69238D" w:rsidRPr="0014526F" w14:paraId="5132DD6F"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003366"/>
            <w:tcMar>
              <w:top w:w="180" w:type="dxa"/>
              <w:left w:w="300" w:type="dxa"/>
              <w:bottom w:w="180" w:type="dxa"/>
              <w:right w:w="300" w:type="dxa"/>
            </w:tcMar>
          </w:tcPr>
          <w:p w14:paraId="3E3323D5" w14:textId="77777777" w:rsidR="0069238D" w:rsidRDefault="00000000">
            <w:pPr>
              <w:jc w:val="center"/>
            </w:pPr>
            <w:r>
              <w:rPr>
                <w:rFonts w:ascii="Calibri" w:eastAsia="Calibri" w:hAnsi="Calibri" w:cs="Calibri"/>
                <w:color w:val="A8D8DC"/>
                <w:sz w:val="18"/>
                <w:szCs w:val="18"/>
              </w:rPr>
              <w:t xml:space="preserve">SITTEC </w:t>
            </w:r>
            <w:proofErr w:type="gramStart"/>
            <w:r>
              <w:rPr>
                <w:rFonts w:ascii="Calibri" w:eastAsia="Calibri" w:hAnsi="Calibri" w:cs="Calibri"/>
                <w:color w:val="A8D8DC"/>
                <w:sz w:val="18"/>
                <w:szCs w:val="18"/>
              </w:rPr>
              <w:t>2026  |</w:t>
            </w:r>
            <w:proofErr w:type="gramEnd"/>
            <w:r>
              <w:rPr>
                <w:rFonts w:ascii="Calibri" w:eastAsia="Calibri" w:hAnsi="Calibri" w:cs="Calibri"/>
                <w:color w:val="A8D8DC"/>
                <w:sz w:val="18"/>
                <w:szCs w:val="18"/>
              </w:rPr>
              <w:t xml:space="preserve">  </w:t>
            </w:r>
            <w:proofErr w:type="gramStart"/>
            <w:r>
              <w:rPr>
                <w:rFonts w:ascii="Calibri" w:eastAsia="Calibri" w:hAnsi="Calibri" w:cs="Calibri"/>
                <w:color w:val="A8D8DC"/>
                <w:sz w:val="18"/>
                <w:szCs w:val="18"/>
              </w:rPr>
              <w:t>ACRITEE  |</w:t>
            </w:r>
            <w:proofErr w:type="gramEnd"/>
            <w:r>
              <w:rPr>
                <w:rFonts w:ascii="Calibri" w:eastAsia="Calibri" w:hAnsi="Calibri" w:cs="Calibri"/>
                <w:color w:val="A8D8DC"/>
                <w:sz w:val="18"/>
                <w:szCs w:val="18"/>
              </w:rPr>
              <w:t xml:space="preserve">  acritee.com/soumettre-un-article</w:t>
            </w:r>
          </w:p>
          <w:p w14:paraId="4AF26C55" w14:textId="77777777" w:rsidR="0069238D" w:rsidRPr="0014526F" w:rsidRDefault="00000000">
            <w:pPr>
              <w:spacing w:before="40"/>
              <w:jc w:val="center"/>
              <w:rPr>
                <w:lang w:val="en-US"/>
              </w:rPr>
            </w:pPr>
            <w:r w:rsidRPr="0014526F">
              <w:rPr>
                <w:rFonts w:ascii="Calibri" w:eastAsia="Calibri" w:hAnsi="Calibri" w:cs="Calibri"/>
                <w:color w:val="7ABFC4"/>
                <w:sz w:val="16"/>
                <w:szCs w:val="16"/>
                <w:lang w:val="en-US"/>
              </w:rPr>
              <w:t>Technological Innovation and Energy Transition in Tropical Contexts</w:t>
            </w:r>
          </w:p>
        </w:tc>
      </w:tr>
    </w:tbl>
    <w:p w14:paraId="2765BC06" w14:textId="77777777" w:rsidR="008C003F" w:rsidRPr="0014526F" w:rsidRDefault="008C003F">
      <w:pPr>
        <w:rPr>
          <w:lang w:val="en-US"/>
        </w:rPr>
      </w:pPr>
    </w:p>
    <w:sectPr w:rsidR="008C003F" w:rsidRPr="0014526F">
      <w:headerReference w:type="default" r:id="rId13"/>
      <w:footerReference w:type="default" r:id="rId14"/>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557D4" w14:textId="77777777" w:rsidR="008C003F" w:rsidRDefault="008C003F">
      <w:r>
        <w:separator/>
      </w:r>
    </w:p>
  </w:endnote>
  <w:endnote w:type="continuationSeparator" w:id="0">
    <w:p w14:paraId="7F24DFD1" w14:textId="77777777" w:rsidR="008C003F" w:rsidRDefault="008C0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F0C4" w14:textId="77777777" w:rsidR="0069238D" w:rsidRDefault="00000000">
    <w:pPr>
      <w:pBdr>
        <w:top w:val="single" w:sz="4" w:space="0" w:color="CCCCCC"/>
      </w:pBdr>
      <w:tabs>
        <w:tab w:val="right" w:pos="9026"/>
      </w:tabs>
      <w:spacing w:before="80"/>
    </w:pPr>
    <w:r>
      <w:rPr>
        <w:rFonts w:ascii="Calibri" w:eastAsia="Calibri" w:hAnsi="Calibri" w:cs="Calibri"/>
        <w:color w:val="888888"/>
        <w:sz w:val="16"/>
        <w:szCs w:val="16"/>
      </w:rPr>
      <w:t xml:space="preserve">SITTEC 2026 </w:t>
    </w:r>
    <w:proofErr w:type="spellStart"/>
    <w:r>
      <w:rPr>
        <w:rFonts w:ascii="Calibri" w:eastAsia="Calibri" w:hAnsi="Calibri" w:cs="Calibri"/>
        <w:color w:val="888888"/>
        <w:sz w:val="16"/>
        <w:szCs w:val="16"/>
      </w:rPr>
      <w:t>Proceedings</w:t>
    </w:r>
    <w:proofErr w:type="spellEnd"/>
    <w:r>
      <w:rPr>
        <w:rFonts w:ascii="Calibri" w:eastAsia="Calibri" w:hAnsi="Calibri" w:cs="Calibri"/>
        <w:color w:val="888888"/>
        <w:sz w:val="16"/>
        <w:szCs w:val="16"/>
      </w:rPr>
      <w:t xml:space="preserve"> — ACRITEE</w:t>
    </w:r>
    <w:r>
      <w:rPr>
        <w:rFonts w:ascii="Calibri" w:eastAsia="Calibri" w:hAnsi="Calibri" w:cs="Calibri"/>
        <w:color w:val="888888"/>
        <w:sz w:val="16"/>
        <w:szCs w:val="16"/>
      </w:rPr>
      <w:tab/>
      <w:t xml:space="preserve">Page </w:t>
    </w:r>
    <w:r>
      <w:rPr>
        <w:rFonts w:ascii="Calibri" w:eastAsia="Calibri" w:hAnsi="Calibri" w:cs="Calibri"/>
        <w:b/>
        <w:bCs/>
        <w:color w:val="007B7F"/>
        <w:sz w:val="16"/>
        <w:szCs w:val="16"/>
      </w:rPr>
      <w:fldChar w:fldCharType="begin"/>
    </w:r>
    <w:r>
      <w:rPr>
        <w:rFonts w:ascii="Calibri" w:eastAsia="Calibri" w:hAnsi="Calibri" w:cs="Calibri"/>
        <w:b/>
        <w:bCs/>
        <w:color w:val="007B7F"/>
        <w:sz w:val="16"/>
        <w:szCs w:val="16"/>
      </w:rPr>
      <w:instrText>PAGE</w:instrText>
    </w:r>
    <w:r>
      <w:rPr>
        <w:rFonts w:ascii="Calibri" w:eastAsia="Calibri" w:hAnsi="Calibri" w:cs="Calibri"/>
        <w:b/>
        <w:bCs/>
        <w:color w:val="007B7F"/>
        <w:sz w:val="16"/>
        <w:szCs w:val="16"/>
      </w:rPr>
      <w:fldChar w:fldCharType="separate"/>
    </w:r>
    <w:r w:rsidR="0014526F">
      <w:rPr>
        <w:rFonts w:ascii="Calibri" w:eastAsia="Calibri" w:hAnsi="Calibri" w:cs="Calibri"/>
        <w:b/>
        <w:bCs/>
        <w:noProof/>
        <w:color w:val="007B7F"/>
        <w:sz w:val="16"/>
        <w:szCs w:val="16"/>
      </w:rPr>
      <w:t>1</w:t>
    </w:r>
    <w:r>
      <w:rPr>
        <w:rFonts w:ascii="Calibri" w:eastAsia="Calibri" w:hAnsi="Calibri" w:cs="Calibri"/>
        <w:b/>
        <w:bCs/>
        <w:color w:val="007B7F"/>
        <w:sz w:val="16"/>
        <w:szCs w:val="16"/>
      </w:rPr>
      <w:fldChar w:fldCharType="end"/>
    </w:r>
    <w:r>
      <w:rPr>
        <w:rFonts w:ascii="Calibri" w:eastAsia="Calibri" w:hAnsi="Calibri" w:cs="Calibri"/>
        <w:color w:val="888888"/>
        <w:sz w:val="16"/>
        <w:szCs w:val="16"/>
      </w:rPr>
      <w:t xml:space="preserve"> / </w:t>
    </w:r>
    <w:r>
      <w:rPr>
        <w:rFonts w:ascii="Calibri" w:eastAsia="Calibri" w:hAnsi="Calibri" w:cs="Calibri"/>
        <w:color w:val="888888"/>
        <w:sz w:val="16"/>
        <w:szCs w:val="16"/>
      </w:rPr>
      <w:fldChar w:fldCharType="begin"/>
    </w:r>
    <w:r>
      <w:rPr>
        <w:rFonts w:ascii="Calibri" w:eastAsia="Calibri" w:hAnsi="Calibri" w:cs="Calibri"/>
        <w:color w:val="888888"/>
        <w:sz w:val="16"/>
        <w:szCs w:val="16"/>
      </w:rPr>
      <w:instrText>NUMPAGES</w:instrText>
    </w:r>
    <w:r>
      <w:rPr>
        <w:rFonts w:ascii="Calibri" w:eastAsia="Calibri" w:hAnsi="Calibri" w:cs="Calibri"/>
        <w:color w:val="888888"/>
        <w:sz w:val="16"/>
        <w:szCs w:val="16"/>
      </w:rPr>
      <w:fldChar w:fldCharType="separate"/>
    </w:r>
    <w:r w:rsidR="0014526F">
      <w:rPr>
        <w:rFonts w:ascii="Calibri" w:eastAsia="Calibri" w:hAnsi="Calibri" w:cs="Calibri"/>
        <w:noProof/>
        <w:color w:val="888888"/>
        <w:sz w:val="16"/>
        <w:szCs w:val="16"/>
      </w:rPr>
      <w:t>2</w:t>
    </w:r>
    <w:r>
      <w:rPr>
        <w:rFonts w:ascii="Calibri" w:eastAsia="Calibri" w:hAnsi="Calibri" w:cs="Calibri"/>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7F66" w14:textId="77777777" w:rsidR="008C003F" w:rsidRDefault="008C003F">
      <w:r>
        <w:separator/>
      </w:r>
    </w:p>
  </w:footnote>
  <w:footnote w:type="continuationSeparator" w:id="0">
    <w:p w14:paraId="1399E4F8" w14:textId="77777777" w:rsidR="008C003F" w:rsidRDefault="008C00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3CEC2" w14:textId="77777777" w:rsidR="0069238D" w:rsidRDefault="00000000">
    <w:pPr>
      <w:pBdr>
        <w:bottom w:val="single" w:sz="4" w:space="0" w:color="007B7F"/>
      </w:pBdr>
      <w:tabs>
        <w:tab w:val="right" w:pos="9026"/>
      </w:tabs>
      <w:spacing w:after="100"/>
    </w:pPr>
    <w:r>
      <w:rPr>
        <w:rFonts w:ascii="Calibri" w:eastAsia="Calibri" w:hAnsi="Calibri" w:cs="Calibri"/>
        <w:color w:val="007B7F"/>
        <w:sz w:val="18"/>
        <w:szCs w:val="18"/>
      </w:rPr>
      <w:t xml:space="preserve">SITTEC </w:t>
    </w:r>
    <w:proofErr w:type="gramStart"/>
    <w:r>
      <w:rPr>
        <w:rFonts w:ascii="Calibri" w:eastAsia="Calibri" w:hAnsi="Calibri" w:cs="Calibri"/>
        <w:color w:val="007B7F"/>
        <w:sz w:val="18"/>
        <w:szCs w:val="18"/>
      </w:rPr>
      <w:t>2026  —</w:t>
    </w:r>
    <w:proofErr w:type="gramEnd"/>
    <w:r>
      <w:rPr>
        <w:rFonts w:ascii="Calibri" w:eastAsia="Calibri" w:hAnsi="Calibri" w:cs="Calibri"/>
        <w:color w:val="007B7F"/>
        <w:sz w:val="18"/>
        <w:szCs w:val="18"/>
      </w:rPr>
      <w:t xml:space="preserve">  Ebolowa, </w:t>
    </w:r>
    <w:proofErr w:type="spellStart"/>
    <w:proofErr w:type="gramStart"/>
    <w:r>
      <w:rPr>
        <w:rFonts w:ascii="Calibri" w:eastAsia="Calibri" w:hAnsi="Calibri" w:cs="Calibri"/>
        <w:color w:val="007B7F"/>
        <w:sz w:val="18"/>
        <w:szCs w:val="18"/>
      </w:rPr>
      <w:t>Cameroon</w:t>
    </w:r>
    <w:proofErr w:type="spellEnd"/>
    <w:r>
      <w:rPr>
        <w:rFonts w:ascii="Calibri" w:eastAsia="Calibri" w:hAnsi="Calibri" w:cs="Calibri"/>
        <w:color w:val="007B7F"/>
        <w:sz w:val="18"/>
        <w:szCs w:val="18"/>
      </w:rPr>
      <w:t xml:space="preserve">  |</w:t>
    </w:r>
    <w:proofErr w:type="gramEnd"/>
    <w:r>
      <w:rPr>
        <w:rFonts w:ascii="Calibri" w:eastAsia="Calibri" w:hAnsi="Calibri" w:cs="Calibri"/>
        <w:color w:val="007B7F"/>
        <w:sz w:val="18"/>
        <w:szCs w:val="18"/>
      </w:rPr>
      <w:t xml:space="preserve">  August 3–4, 2026</w:t>
    </w:r>
    <w:r>
      <w:rPr>
        <w:sz w:val="18"/>
        <w:szCs w:val="18"/>
      </w:rPr>
      <w:tab/>
    </w:r>
    <w:r>
      <w:rPr>
        <w:rFonts w:ascii="Calibri" w:eastAsia="Calibri" w:hAnsi="Calibri" w:cs="Calibri"/>
        <w:b/>
        <w:bCs/>
        <w:color w:val="003366"/>
        <w:sz w:val="18"/>
        <w:szCs w:val="18"/>
      </w:rPr>
      <w:t>ACRITEE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2783"/>
    <w:multiLevelType w:val="hybridMultilevel"/>
    <w:tmpl w:val="16BEC954"/>
    <w:lvl w:ilvl="0" w:tplc="2BB2BACA">
      <w:start w:val="1"/>
      <w:numFmt w:val="bullet"/>
      <w:lvlText w:val="●"/>
      <w:lvlJc w:val="left"/>
      <w:pPr>
        <w:ind w:left="720" w:hanging="360"/>
      </w:pPr>
    </w:lvl>
    <w:lvl w:ilvl="1" w:tplc="6BC4D084">
      <w:start w:val="1"/>
      <w:numFmt w:val="bullet"/>
      <w:lvlText w:val="○"/>
      <w:lvlJc w:val="left"/>
      <w:pPr>
        <w:ind w:left="1440" w:hanging="360"/>
      </w:pPr>
    </w:lvl>
    <w:lvl w:ilvl="2" w:tplc="08F4CF60">
      <w:start w:val="1"/>
      <w:numFmt w:val="bullet"/>
      <w:lvlText w:val="■"/>
      <w:lvlJc w:val="left"/>
      <w:pPr>
        <w:ind w:left="2160" w:hanging="360"/>
      </w:pPr>
    </w:lvl>
    <w:lvl w:ilvl="3" w:tplc="352EA994">
      <w:start w:val="1"/>
      <w:numFmt w:val="bullet"/>
      <w:lvlText w:val="●"/>
      <w:lvlJc w:val="left"/>
      <w:pPr>
        <w:ind w:left="2880" w:hanging="360"/>
      </w:pPr>
    </w:lvl>
    <w:lvl w:ilvl="4" w:tplc="3AD432DA">
      <w:start w:val="1"/>
      <w:numFmt w:val="bullet"/>
      <w:lvlText w:val="○"/>
      <w:lvlJc w:val="left"/>
      <w:pPr>
        <w:ind w:left="3600" w:hanging="360"/>
      </w:pPr>
    </w:lvl>
    <w:lvl w:ilvl="5" w:tplc="21F4DA6E">
      <w:start w:val="1"/>
      <w:numFmt w:val="bullet"/>
      <w:lvlText w:val="■"/>
      <w:lvlJc w:val="left"/>
      <w:pPr>
        <w:ind w:left="4320" w:hanging="360"/>
      </w:pPr>
    </w:lvl>
    <w:lvl w:ilvl="6" w:tplc="37C28BA8">
      <w:start w:val="1"/>
      <w:numFmt w:val="bullet"/>
      <w:lvlText w:val="●"/>
      <w:lvlJc w:val="left"/>
      <w:pPr>
        <w:ind w:left="5040" w:hanging="360"/>
      </w:pPr>
    </w:lvl>
    <w:lvl w:ilvl="7" w:tplc="5770E1FC">
      <w:start w:val="1"/>
      <w:numFmt w:val="bullet"/>
      <w:lvlText w:val="●"/>
      <w:lvlJc w:val="left"/>
      <w:pPr>
        <w:ind w:left="5760" w:hanging="360"/>
      </w:pPr>
    </w:lvl>
    <w:lvl w:ilvl="8" w:tplc="40485AA6">
      <w:start w:val="1"/>
      <w:numFmt w:val="bullet"/>
      <w:lvlText w:val="●"/>
      <w:lvlJc w:val="left"/>
      <w:pPr>
        <w:ind w:left="6480" w:hanging="360"/>
      </w:pPr>
    </w:lvl>
  </w:abstractNum>
  <w:abstractNum w:abstractNumId="1" w15:restartNumberingAfterBreak="0">
    <w:nsid w:val="660F1E1B"/>
    <w:multiLevelType w:val="hybridMultilevel"/>
    <w:tmpl w:val="5420C62E"/>
    <w:lvl w:ilvl="0" w:tplc="5EE0544E">
      <w:start w:val="1"/>
      <w:numFmt w:val="decimal"/>
      <w:lvlText w:val="[%1]"/>
      <w:lvlJc w:val="left"/>
      <w:pPr>
        <w:ind w:left="480" w:hanging="360"/>
      </w:pPr>
    </w:lvl>
    <w:lvl w:ilvl="1" w:tplc="B6044C78">
      <w:numFmt w:val="decimal"/>
      <w:lvlText w:val=""/>
      <w:lvlJc w:val="left"/>
    </w:lvl>
    <w:lvl w:ilvl="2" w:tplc="29AC3244">
      <w:numFmt w:val="decimal"/>
      <w:lvlText w:val=""/>
      <w:lvlJc w:val="left"/>
    </w:lvl>
    <w:lvl w:ilvl="3" w:tplc="AFE0A238">
      <w:numFmt w:val="decimal"/>
      <w:lvlText w:val=""/>
      <w:lvlJc w:val="left"/>
    </w:lvl>
    <w:lvl w:ilvl="4" w:tplc="D1B20F10">
      <w:numFmt w:val="decimal"/>
      <w:lvlText w:val=""/>
      <w:lvlJc w:val="left"/>
    </w:lvl>
    <w:lvl w:ilvl="5" w:tplc="58786888">
      <w:numFmt w:val="decimal"/>
      <w:lvlText w:val=""/>
      <w:lvlJc w:val="left"/>
    </w:lvl>
    <w:lvl w:ilvl="6" w:tplc="A8A43E06">
      <w:numFmt w:val="decimal"/>
      <w:lvlText w:val=""/>
      <w:lvlJc w:val="left"/>
    </w:lvl>
    <w:lvl w:ilvl="7" w:tplc="E60CF8D0">
      <w:numFmt w:val="decimal"/>
      <w:lvlText w:val=""/>
      <w:lvlJc w:val="left"/>
    </w:lvl>
    <w:lvl w:ilvl="8" w:tplc="EB5A633A">
      <w:numFmt w:val="decimal"/>
      <w:lvlText w:val=""/>
      <w:lvlJc w:val="left"/>
    </w:lvl>
  </w:abstractNum>
  <w:num w:numId="1" w16cid:durableId="2084906982">
    <w:abstractNumId w:val="0"/>
    <w:lvlOverride w:ilvl="0">
      <w:startOverride w:val="1"/>
    </w:lvlOverride>
  </w:num>
  <w:num w:numId="2" w16cid:durableId="467256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38D"/>
    <w:rsid w:val="000B4247"/>
    <w:rsid w:val="0014526F"/>
    <w:rsid w:val="00534FF3"/>
    <w:rsid w:val="0069238D"/>
    <w:rsid w:val="00777732"/>
    <w:rsid w:val="008C003F"/>
  </w:rsids>
  <m:mathPr>
    <m:mathFont m:val="Cambria Math"/>
    <m:brkBin m:val="before"/>
    <m:brkBinSub m:val="--"/>
    <m:smallFrac m:val="0"/>
    <m:dispDef/>
    <m:lMargin m:val="0"/>
    <m:rMargin m:val="0"/>
    <m:defJc m:val="centerGroup"/>
    <m:wrapIndent m:val="1440"/>
    <m:intLim m:val="subSup"/>
    <m:naryLim m:val="undOvr"/>
  </m:mathPr>
  <w:themeFontLang w:val="fr-C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E4EE5"/>
  <w15:docId w15:val="{1741E74F-1AE2-46E2-9DB5-22AF2C46D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CM" w:eastAsia="fr-CM"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60"/>
      <w:outlineLvl w:val="0"/>
    </w:pPr>
    <w:rPr>
      <w:rFonts w:ascii="Calibri" w:eastAsia="Calibri" w:hAnsi="Calibri" w:cs="Calibri"/>
      <w:b/>
      <w:bCs/>
      <w:caps/>
      <w:color w:val="003366"/>
      <w:sz w:val="26"/>
      <w:szCs w:val="26"/>
    </w:rPr>
  </w:style>
  <w:style w:type="paragraph" w:styleId="Titre2">
    <w:name w:val="heading 2"/>
    <w:uiPriority w:val="9"/>
    <w:unhideWhenUsed/>
    <w:qFormat/>
    <w:pPr>
      <w:spacing w:before="200" w:after="60"/>
      <w:outlineLvl w:val="1"/>
    </w:pPr>
    <w:rPr>
      <w:rFonts w:ascii="Calibri" w:eastAsia="Calibri" w:hAnsi="Calibri" w:cs="Calibri"/>
      <w:b/>
      <w:bCs/>
      <w:color w:val="007B7F"/>
      <w:sz w:val="24"/>
      <w:szCs w:val="24"/>
    </w:rPr>
  </w:style>
  <w:style w:type="paragraph" w:styleId="Titre3">
    <w:name w:val="heading 3"/>
    <w:uiPriority w:val="9"/>
    <w:unhideWhenUsed/>
    <w:qFormat/>
    <w:pPr>
      <w:spacing w:before="140" w:after="40"/>
      <w:outlineLvl w:val="2"/>
    </w:pPr>
    <w:rPr>
      <w:rFonts w:ascii="Calibri" w:eastAsia="Calibri" w:hAnsi="Calibri" w:cs="Calibri"/>
      <w:b/>
      <w:bCs/>
      <w:color w:val="44444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3224</Words>
  <Characters>17732</Characters>
  <Application>Microsoft Office Word</Application>
  <DocSecurity>0</DocSecurity>
  <Lines>147</Lines>
  <Paragraphs>41</Paragraphs>
  <ScaleCrop>false</ScaleCrop>
  <Company/>
  <LinksUpToDate>false</LinksUpToDate>
  <CharactersWithSpaces>20915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Jeannette NGO MATIP MAKON</cp:lastModifiedBy>
  <cp:revision>4</cp:revision>
  <dcterms:created xsi:type="dcterms:W3CDTF">2026-06-05T10:45:00Z</dcterms:created>
  <dcterms:modified xsi:type="dcterms:W3CDTF">2026-06-05T11:18:00Z</dcterms:modified>
</cp:coreProperties>
</file>